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aeriestech_8k.htm"/>
      <w:bookmarkStart w:id="1" w:name="ksaeriestech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2_edei--DocumentType_c20260326__20"/>
      <w:bookmarkEnd w:id="2"/>
      <w:r>
        <w:rPr>
          <w:rFonts w:ascii="Times New Roman;Times;Serif" w:hAnsi="Times New Roman;Times;Serif"/>
          <w:b/>
          <w:i w:val="false"/>
          <w:caps w:val="false"/>
          <w:smallCaps w:val="false"/>
          <w:sz w:val="28"/>
        </w:rPr>
        <w:t>8-K</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val="false"/>
          <w:i w:val="false"/>
          <w:caps w:val="false"/>
          <w:smallCaps w:val="false"/>
          <w:sz w:val="20"/>
        </w:rPr>
        <w:t>March 26, 2026</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8"/>
        </w:rPr>
      </w:pPr>
      <w:bookmarkStart w:id="4" w:name="xdx_90C_edei--EntityRegistrantName_c2026"/>
      <w:bookmarkEnd w:id="4"/>
      <w:r>
        <w:rPr>
          <w:rFonts w:ascii="Times New Roman;Times;Serif" w:hAnsi="Times New Roman;Times;Serif"/>
          <w:b/>
          <w:i w:val="false"/>
          <w:caps w:val="false"/>
          <w:smallCaps w:val="false"/>
          <w:sz w:val="28"/>
        </w:rPr>
        <w:t>Aeries Technology,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5160" w:type="dxa"/>
        <w:jc w:val="left"/>
        <w:tblInd w:w="0" w:type="dxa"/>
        <w:tblLayout w:type="fixed"/>
        <w:tblCellMar>
          <w:top w:w="0" w:type="dxa"/>
          <w:left w:w="0" w:type="dxa"/>
          <w:bottom w:w="28" w:type="dxa"/>
          <w:right w:w="0" w:type="dxa"/>
        </w:tblCellMar>
      </w:tblPr>
      <w:tblGrid>
        <w:gridCol w:w="2165"/>
        <w:gridCol w:w="60"/>
        <w:gridCol w:w="1100"/>
        <w:gridCol w:w="60"/>
        <w:gridCol w:w="1775"/>
      </w:tblGrid>
      <w:tr>
        <w:trPr/>
        <w:tc>
          <w:tcPr>
            <w:tcW w:w="2165" w:type="dxa"/>
            <w:tcBorders>
              <w:bottom w:val="single" w:sz="8" w:space="0" w:color="000000"/>
            </w:tcBorders>
            <w:vAlign w:val="center"/>
          </w:tcPr>
          <w:p>
            <w:pPr>
              <w:pStyle w:val="TableContents"/>
              <w:bidi w:val="0"/>
              <w:spacing w:before="0" w:after="283"/>
              <w:jc w:val="center"/>
              <w:rPr>
                <w:b/>
              </w:rPr>
            </w:pPr>
            <w:bookmarkStart w:id="5" w:name="xdx_904_edei--EntityIncorporationStateCo"/>
            <w:bookmarkEnd w:id="5"/>
            <w:r>
              <w:rPr>
                <w:b/>
              </w:rPr>
              <w:t>Cayman Islands</w:t>
            </w:r>
          </w:p>
        </w:tc>
        <w:tc>
          <w:tcPr>
            <w:tcW w:w="60" w:type="dxa"/>
            <w:tcBorders/>
            <w:tcMar>
              <w:bottom w:w="0" w:type="dxa"/>
            </w:tcMar>
            <w:vAlign w:val="center"/>
          </w:tcPr>
          <w:p>
            <w:pPr>
              <w:pStyle w:val="TableContents"/>
              <w:bidi w:val="0"/>
              <w:spacing w:before="0" w:after="283"/>
              <w:jc w:val="center"/>
              <w:rPr/>
            </w:pPr>
            <w:r>
              <w:rPr/>
              <w:t> </w:t>
            </w:r>
          </w:p>
        </w:tc>
        <w:tc>
          <w:tcPr>
            <w:tcW w:w="1100" w:type="dxa"/>
            <w:tcBorders>
              <w:bottom w:val="single" w:sz="8" w:space="0" w:color="000000"/>
            </w:tcBorders>
            <w:vAlign w:val="center"/>
          </w:tcPr>
          <w:p>
            <w:pPr>
              <w:pStyle w:val="TableContents"/>
              <w:bidi w:val="0"/>
              <w:spacing w:before="0" w:after="283"/>
              <w:jc w:val="center"/>
              <w:rPr>
                <w:b/>
              </w:rPr>
            </w:pPr>
            <w:bookmarkStart w:id="6" w:name="xdx_907_edei--EntityFileNumber_c20260326"/>
            <w:bookmarkEnd w:id="6"/>
            <w:r>
              <w:rPr>
                <w:b/>
              </w:rPr>
              <w:t>001-40920</w:t>
            </w:r>
          </w:p>
        </w:tc>
        <w:tc>
          <w:tcPr>
            <w:tcW w:w="60" w:type="dxa"/>
            <w:tcBorders/>
            <w:tcMar>
              <w:bottom w:w="0" w:type="dxa"/>
            </w:tcMar>
            <w:vAlign w:val="center"/>
          </w:tcPr>
          <w:p>
            <w:pPr>
              <w:pStyle w:val="TableContents"/>
              <w:bidi w:val="0"/>
              <w:spacing w:before="0" w:after="283"/>
              <w:jc w:val="center"/>
              <w:rPr/>
            </w:pPr>
            <w:r>
              <w:rPr/>
              <w:t> </w:t>
            </w:r>
          </w:p>
        </w:tc>
        <w:tc>
          <w:tcPr>
            <w:tcW w:w="1775" w:type="dxa"/>
            <w:tcBorders>
              <w:bottom w:val="single" w:sz="8" w:space="0" w:color="000000"/>
            </w:tcBorders>
            <w:vAlign w:val="center"/>
          </w:tcPr>
          <w:p>
            <w:pPr>
              <w:pStyle w:val="TableContents"/>
              <w:bidi w:val="0"/>
              <w:spacing w:before="0" w:after="283"/>
              <w:jc w:val="center"/>
              <w:rPr>
                <w:b/>
              </w:rPr>
            </w:pPr>
            <w:bookmarkStart w:id="7" w:name="xdx_909_edei--EntityTaxIdentificationNum"/>
            <w:bookmarkEnd w:id="7"/>
            <w:r>
              <w:rPr>
                <w:b/>
              </w:rPr>
              <w:t>98-1587626</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7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(IRS Employer</w:t>
              <w:br/>
              <w:t>Identification No.)</w:t>
            </w:r>
          </w:p>
        </w:tc>
      </w:tr>
    </w:tbl>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 xml:space="preserve">60 Paya Lebar Road, </w:t>
            </w:r>
            <w:bookmarkStart w:id="9" w:name="xdx_90E_edei--EntityAddressAddressLine2_"/>
            <w:bookmarkEnd w:id="9"/>
            <w:r>
              <w:rPr>
                <w:rFonts w:ascii="Times New Roman;Times;Serif" w:hAnsi="Times New Roman;Times;Serif"/>
                <w:b/>
                <w:i w:val="false"/>
                <w:caps w:val="false"/>
                <w:smallCaps w:val="false"/>
                <w:sz w:val="20"/>
              </w:rPr>
              <w:t>#08-13</w:t>
            </w:r>
          </w:p>
          <w:p>
            <w:pPr>
              <w:pStyle w:val="TableContents"/>
              <w:bidi w:val="0"/>
              <w:spacing w:before="0" w:after="283"/>
              <w:jc w:val="center"/>
              <w:rPr>
                <w:rFonts w:ascii="Times New Roman;Times;Serif" w:hAnsi="Times New Roman;Times;Serif"/>
                <w:b/>
                <w:i w:val="false"/>
                <w:caps w:val="false"/>
                <w:smallCaps w:val="false"/>
                <w:sz w:val="20"/>
              </w:rPr>
            </w:pPr>
            <w:bookmarkStart w:id="10" w:name="xdx_90C_edei--EntityAddressAddressLine3_"/>
            <w:bookmarkEnd w:id="10"/>
            <w:r>
              <w:rPr>
                <w:rFonts w:ascii="Times New Roman;Times;Serif" w:hAnsi="Times New Roman;Times;Serif"/>
                <w:b/>
                <w:i w:val="false"/>
                <w:caps w:val="false"/>
                <w:smallCaps w:val="false"/>
                <w:sz w:val="20"/>
              </w:rPr>
              <w:t>Paya Lebar Square</w:t>
              <w:br/>
            </w:r>
            <w:bookmarkStart w:id="11" w:name="xdx_901_edei--EntityAddressCountry_c2026"/>
            <w:bookmarkStart w:id="12" w:name="xdx_90A_edei--EntityAddressCityOrTown_c2"/>
            <w:bookmarkEnd w:id="11"/>
            <w:bookmarkEnd w:id="12"/>
            <w:r>
              <w:rPr>
                <w:rFonts w:ascii="Times New Roman;Times;Serif" w:hAnsi="Times New Roman;Times;Serif"/>
                <w:b/>
                <w:i w:val="false"/>
                <w:caps w:val="false"/>
                <w:smallCaps w:val="false"/>
                <w:sz w:val="20"/>
              </w:rPr>
              <w:t>Singapore</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8" w:space="0" w:color="000000"/>
            </w:tcBorders>
            <w:vAlign w:val="center"/>
          </w:tcPr>
          <w:p>
            <w:pPr>
              <w:pStyle w:val="TableContents"/>
              <w:bidi w:val="0"/>
              <w:spacing w:before="0" w:after="283"/>
              <w:jc w:val="center"/>
              <w:rPr>
                <w:b/>
              </w:rPr>
            </w:pPr>
            <w:bookmarkStart w:id="13" w:name="xdx_901_edei--EntityAddressPostalZipCode"/>
            <w:bookmarkEnd w:id="13"/>
            <w:r>
              <w:rPr>
                <w:b/>
              </w:rPr>
              <w:t>409051</w:t>
            </w:r>
          </w:p>
        </w:tc>
      </w:tr>
      <w:tr>
        <w:trPr/>
        <w:tc>
          <w:tcPr>
            <w:tcW w:w="375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85" w:type="dxa"/>
            <w:tcBorders/>
            <w:tcMar>
              <w:bottom w:w="0" w:type="dxa"/>
            </w:tcMar>
            <w:vAlign w:val="center"/>
          </w:tcPr>
          <w:p>
            <w:pPr>
              <w:pStyle w:val="TableContents"/>
              <w:bidi w:val="0"/>
              <w:spacing w:before="0" w:after="283"/>
              <w:jc w:val="center"/>
              <w:rPr>
                <w:b w:val="false"/>
                <w:i w:val="false"/>
                <w:caps w:val="false"/>
                <w:smallCaps w:val="false"/>
              </w:rPr>
            </w:pPr>
            <w:r>
              <w:rPr>
                <w:b w:val="false"/>
                <w:i w:val="false"/>
                <w:caps w:val="false"/>
                <w:smallCaps w:val="false"/>
              </w:rPr>
              <w:t>(Zip Code)</w:t>
            </w:r>
          </w:p>
        </w:tc>
      </w:tr>
    </w:tbl>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4" w:name="xdx_90F_edei--CityAreaCode_c20260326__20"/>
      <w:bookmarkEnd w:id="14"/>
      <w:r>
        <w:rPr>
          <w:rFonts w:ascii="Times New Roman;Times;Serif" w:hAnsi="Times New Roman;Times;Serif"/>
          <w:b w:val="false"/>
          <w:i w:val="false"/>
          <w:caps w:val="false"/>
          <w:smallCaps w:val="false"/>
          <w:sz w:val="20"/>
        </w:rPr>
        <w:t xml:space="preserve">(919) </w:t>
      </w:r>
      <w:bookmarkStart w:id="15" w:name="xdx_908_edei--LocalPhoneNumber_c20260326"/>
      <w:bookmarkEnd w:id="15"/>
      <w:r>
        <w:rPr>
          <w:rFonts w:ascii="Times New Roman;Times;Serif" w:hAnsi="Times New Roman;Times;Serif"/>
          <w:b w:val="false"/>
          <w:i w:val="false"/>
          <w:caps w:val="false"/>
          <w:smallCaps w:val="false"/>
          <w:sz w:val="20"/>
        </w:rPr>
        <w:t>228-6404</w:t>
      </w:r>
    </w:p>
    <w:p>
      <w:pPr>
        <w:pStyle w:val="TextBody"/>
        <w:bidi w:val="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w:t>
      </w:r>
    </w:p>
    <w:p>
      <w:pPr>
        <w:pStyle w:val="TextBody"/>
        <w:bidi w:val="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6" w:name="xdx_904_edei--WrittenCommunications_c202"/>
            <w:bookmarkEnd w:id="16"/>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C_edei--SolicitingMaterial_c202603"/>
            <w:bookmarkEnd w:id="17"/>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6_edei--PreCommencementTenderOffer"/>
            <w:bookmarkEnd w:id="18"/>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B_edei--PreCommencementIssuerTende"/>
            <w:bookmarkEnd w:id="19"/>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67"/>
        <w:gridCol w:w="60"/>
        <w:gridCol w:w="1278"/>
        <w:gridCol w:w="60"/>
        <w:gridCol w:w="2640"/>
      </w:tblGrid>
      <w:tr>
        <w:trPr/>
        <w:tc>
          <w:tcPr>
            <w:tcW w:w="6167"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8"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167"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Security12bTitle_c20260326"/>
            <w:bookmarkEnd w:id="20"/>
            <w:r>
              <w:rPr>
                <w:rFonts w:ascii="Times New Roman;Times;Serif" w:hAnsi="Times New Roman;Times;Serif"/>
                <w:b w:val="false"/>
                <w:i w:val="false"/>
                <w:caps w:val="false"/>
                <w:smallCaps w:val="false"/>
                <w:sz w:val="20"/>
              </w:rPr>
              <w:t>Class A ordinary shares,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8"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9_edei--TradingSymbol_c20260326__2"/>
            <w:bookmarkEnd w:id="21"/>
            <w:r>
              <w:rPr>
                <w:rFonts w:ascii="Times New Roman;Times;Serif" w:hAnsi="Times New Roman;Times;Serif"/>
                <w:b w:val="false"/>
                <w:i w:val="false"/>
                <w:caps w:val="false"/>
                <w:smallCaps w:val="false"/>
                <w:sz w:val="20"/>
              </w:rPr>
              <w:t>AERT</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B_edei--SecurityExchangeName_c2026"/>
            <w:bookmarkEnd w:id="22"/>
            <w:r>
              <w:rPr>
                <w:rFonts w:ascii="Times New Roman;Times;Serif" w:hAnsi="Times New Roman;Times;Serif"/>
                <w:b w:val="false"/>
                <w:i w:val="false"/>
                <w:caps w:val="false"/>
                <w:smallCaps w:val="false"/>
                <w:sz w:val="20"/>
              </w:rPr>
              <w:t>Nasdaq Capital Market</w:t>
            </w:r>
          </w:p>
        </w:tc>
      </w:tr>
      <w:tr>
        <w:trPr/>
        <w:tc>
          <w:tcPr>
            <w:tcW w:w="6167"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C_edei--Security12bTitle_c20260326"/>
            <w:bookmarkEnd w:id="23"/>
            <w:r>
              <w:rPr>
                <w:rFonts w:ascii="Times New Roman;Times;Serif" w:hAnsi="Times New Roman;Times;Serif"/>
                <w:b w:val="false"/>
                <w:i w:val="false"/>
                <w:caps w:val="false"/>
                <w:smallCaps w:val="false"/>
                <w:sz w:val="20"/>
              </w:rPr>
              <w:t>Redeemable warrants, each whole warrant exercisable for one Class A ordinary share at an exercise price of $11.50</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78"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4_edei--TradingSymbol_c20260326__2"/>
            <w:bookmarkEnd w:id="24"/>
            <w:r>
              <w:rPr>
                <w:rFonts w:ascii="Times New Roman;Times;Serif" w:hAnsi="Times New Roman;Times;Serif"/>
                <w:b w:val="false"/>
                <w:i w:val="false"/>
                <w:caps w:val="false"/>
                <w:smallCaps w:val="false"/>
                <w:sz w:val="20"/>
              </w:rPr>
              <w:t>AERTW</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6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2_edei--SecurityExchangeName_c2026"/>
            <w:bookmarkEnd w:id="25"/>
            <w:r>
              <w:rPr>
                <w:rFonts w:ascii="Times New Roman;Times;Serif" w:hAnsi="Times New Roman;Times;Serif"/>
                <w:b w:val="false"/>
                <w:i w:val="false"/>
                <w:caps w:val="false"/>
                <w:smallCaps w:val="false"/>
                <w:sz w:val="20"/>
              </w:rPr>
              <w:t>Nasdaq Capital Market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6" w:name="xdx_902_edei--EntityEmergingGrowthCompan"/>
      <w:bookmarkEnd w:id="26"/>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bookmarkStart w:id="27" w:name="xdx_90A_edei--EntityExTransitionPeriod_c"/>
      <w:bookmarkEnd w:id="27"/>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Principal Officers; Election of Directors; Appointment of Principal Officers; Compensatory Arrangements of Certain Officers.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On March 26, 2026, Unnikrishnan (Unni) Balakrishnan Nambiar resigned from his position as Chief Technology Officer of Aeries Technology, Inc. (the “Company”), effective March 31, 2026, to take a leadership position with the Company’s wholly-owned subsidiary in India, Aeries Technology Group Business Accelerators Private Limited.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Additionally, on March 26, 2026, the Company’s Board of Directors appointed Bhisham (Ajay) Khare, the Company’s Chief Executive Officer and Principal Financial Officer and a Director of the Company, to serve as the Company’s Principal Accounting Officer (“PAO”), effective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Khare, age 48, has served as Chief Executive Officer and a Director of the Company since February 2025 and Chief Revenue Officer and Chief Operating Officer of the Company since the consummation of the business combination in November 2023. Prior to consummation of the Company’s business combination, he served as Chief Revenue Officer and Chief Operating Officer for the Americas division of Aeries group since 2015. Mr. Khare is responsible for planning and executing the strategic direction and ongoing operations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Mr. Khare did not enter into any material plan, contract or arrangement with the Company in connection with his appointment as the Company’s PAO.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There are no family relationships between Mr. Khare and any of the Company’s current or former directors or executive officers. Mr. Khare is not a party to any transaction that would require disclosure under Item 404(a) of Regulation S-K promulgated under the Securities Act of 1933, as amended, that have not already been previously disclosed in the Company’s filings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5130" w:type="dxa"/>
        <w:jc w:val="left"/>
        <w:tblInd w:w="0" w:type="dxa"/>
        <w:tblLayout w:type="fixed"/>
        <w:tblCellMar>
          <w:top w:w="0" w:type="dxa"/>
          <w:left w:w="0" w:type="dxa"/>
          <w:bottom w:w="0" w:type="dxa"/>
          <w:right w:w="0" w:type="dxa"/>
        </w:tblCellMar>
      </w:tblPr>
      <w:tblGrid>
        <w:gridCol w:w="1790"/>
        <w:gridCol w:w="320"/>
        <w:gridCol w:w="3020"/>
      </w:tblGrid>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3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Aeries Technology, Inc.</w:t>
            </w:r>
          </w:p>
        </w:tc>
      </w:tr>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34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30,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Bhisham (Ajay) Khare</w:t>
            </w:r>
          </w:p>
        </w:tc>
      </w:tr>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Bhisham (Ajay) Khare</w:t>
            </w:r>
          </w:p>
        </w:tc>
      </w:tr>
      <w:tr>
        <w:trPr/>
        <w:tc>
          <w:tcPr>
            <w:tcW w:w="179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2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and Director</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671</Words>
  <Characters>3732</Characters>
  <CharactersWithSpaces>4409</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