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8, 2026</w:t>
      </w:r>
    </w:p>
    <w:p>
      <w:pPr>
        <w:spacing w:after="0" w:line="225" w:lineRule="exact"/>
        <w:rPr>
          <w:sz w:val="24"/>
          <w:szCs w:val="24"/>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4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720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98-1587626</w:t>
            </w:r>
          </w:p>
        </w:tc>
      </w:tr>
      <w:tr>
        <w:trPr>
          <w:trHeight w:val="194"/>
        </w:trPr>
        <w:tc>
          <w:tcPr>
            <w:tcW w:w="4040" w:type="dxa"/>
            <w:vAlign w:val="bottom"/>
            <w:tcBorders>
              <w:top w:val="single" w:sz="8" w:color="auto"/>
            </w:tcBorders>
          </w:tcPr>
          <w:p>
            <w:pPr>
              <w:jc w:val="center"/>
              <w:ind w:left="13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04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040" w:type="dxa"/>
            <w:vAlign w:val="bottom"/>
          </w:tcPr>
          <w:p>
            <w:pPr>
              <w:spacing w:after="0"/>
              <w:rPr>
                <w:sz w:val="24"/>
                <w:szCs w:val="24"/>
                <w:color w:val="auto"/>
              </w:rPr>
            </w:pPr>
          </w:p>
        </w:tc>
        <w:tc>
          <w:tcPr>
            <w:tcW w:w="720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60 Paya Lebar Road, #08-13</w:t>
            </w:r>
          </w:p>
        </w:tc>
      </w:tr>
      <w:tr>
        <w:trPr>
          <w:trHeight w:val="216"/>
        </w:trPr>
        <w:tc>
          <w:tcPr>
            <w:tcW w:w="4040" w:type="dxa"/>
            <w:vAlign w:val="bottom"/>
          </w:tcPr>
          <w:p>
            <w:pPr>
              <w:spacing w:after="0"/>
              <w:rPr>
                <w:sz w:val="18"/>
                <w:szCs w:val="18"/>
                <w:color w:val="auto"/>
              </w:rPr>
            </w:pPr>
          </w:p>
        </w:tc>
        <w:tc>
          <w:tcPr>
            <w:tcW w:w="7200" w:type="dxa"/>
            <w:vAlign w:val="bottom"/>
            <w:gridSpan w:val="3"/>
          </w:tcPr>
          <w:p>
            <w:pPr>
              <w:jc w:val="center"/>
              <w:ind w:right="3950"/>
              <w:spacing w:after="0"/>
              <w:rPr>
                <w:sz w:val="20"/>
                <w:szCs w:val="20"/>
                <w:color w:val="auto"/>
              </w:rPr>
            </w:pPr>
            <w:r>
              <w:rPr>
                <w:rFonts w:ascii="Times New Roman" w:cs="Times New Roman" w:eastAsia="Times New Roman" w:hAnsi="Times New Roman"/>
                <w:sz w:val="18"/>
                <w:szCs w:val="18"/>
                <w:b w:val="1"/>
                <w:bCs w:val="1"/>
                <w:color w:val="auto"/>
                <w:w w:val="99"/>
              </w:rPr>
              <w:t>Paya Lebar Square</w:t>
            </w:r>
          </w:p>
        </w:tc>
      </w:tr>
      <w:tr>
        <w:trPr>
          <w:trHeight w:val="216"/>
        </w:trPr>
        <w:tc>
          <w:tcPr>
            <w:tcW w:w="4040" w:type="dxa"/>
            <w:vAlign w:val="bottom"/>
          </w:tcPr>
          <w:p>
            <w:pPr>
              <w:spacing w:after="0"/>
              <w:rPr>
                <w:sz w:val="18"/>
                <w:szCs w:val="18"/>
                <w:color w:val="auto"/>
              </w:rPr>
            </w:pPr>
          </w:p>
        </w:tc>
        <w:tc>
          <w:tcPr>
            <w:tcW w:w="720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Singapore</w:t>
            </w:r>
          </w:p>
        </w:tc>
      </w:tr>
      <w:tr>
        <w:trPr>
          <w:trHeight w:val="238"/>
        </w:trPr>
        <w:tc>
          <w:tcPr>
            <w:tcW w:w="4040" w:type="dxa"/>
            <w:vAlign w:val="bottom"/>
          </w:tcPr>
          <w:p>
            <w:pPr>
              <w:spacing w:after="0"/>
              <w:rPr>
                <w:sz w:val="20"/>
                <w:szCs w:val="20"/>
                <w:color w:val="auto"/>
              </w:rPr>
            </w:pPr>
          </w:p>
        </w:tc>
        <w:tc>
          <w:tcPr>
            <w:tcW w:w="720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Aeries Technology, Inc. 2023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Ajay Khare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Aeries Technology,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Ugland House, South Church Street,</w:t>
      </w:r>
    </w:p>
    <w:p>
      <w:pPr>
        <w:spacing w:after="0" w:line="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George Town, Grand Cayman KY1-1104</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228-6404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Julie Rizzo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Jeff Pititto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K&amp;L Gates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Hillsborough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Raleigh, North Carolina 27603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(919) 743-7336</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Aeries Technology, Inc. (the “Registrant”) is filing this Registration Statement on Form S-8 for the purpose of registering an additional 2,227,899 Class A ordinary shares with a par value of US$0.0001 per share (“Class A ordinary shares”) available for issuance under the Registrant’s 2023 Equity Incentive Plan, as amended (the “Plan”), pursuant to the evergreen provisions of the Plan providing for an increase of the lesser of (a) 5% of the total number of Class A ordinary shares outstanding on December 31 of the immediately preceding calendar year, and (b) such number of Class A ordinary shares determined by the Board of Directors in its sole discretion. Amendment No. 1 to the Plan (the “Plan Amendment”) was approved by the Company’s shareholders at its Annual General Meeting held on March 27,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E of Form S-8, this Registration Statement hereby incorporates by reference the contents of the Registrant’s prior registration statements on Form S-8 filed with the Securities and Exchange Commission (the “SEC”) on May 7, 2024 (Registration No. 333-279191) and July 2, 2025 (Registration No. 333-288485), except to the extent supplemented, amended or superseded by the information set forth herein.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hereby incorporates by reference in this Registration Statement the following documents previously filed with the SEC:</w:t>
      </w:r>
    </w:p>
    <w:p>
      <w:pPr>
        <w:spacing w:after="0" w:line="225"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2026 filed with the SEC on June 8, 2026;</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filed with the SEC on </w:t>
      </w:r>
      <w:hyperlink r:id="rId15">
        <w:r>
          <w:rPr>
            <w:rFonts w:ascii="Times New Roman" w:cs="Times New Roman" w:eastAsia="Times New Roman" w:hAnsi="Times New Roman"/>
            <w:sz w:val="18"/>
            <w:szCs w:val="18"/>
            <w:u w:val="single" w:color="auto"/>
            <w:color w:val="0000EE"/>
          </w:rPr>
          <w:t>April 3, 2026</w:t>
        </w:r>
      </w:hyperlink>
      <w:r>
        <w:rPr>
          <w:rFonts w:ascii="Times New Roman" w:cs="Times New Roman" w:eastAsia="Times New Roman" w:hAnsi="Times New Roman"/>
          <w:sz w:val="18"/>
          <w:szCs w:val="18"/>
          <w:color w:val="auto"/>
        </w:rPr>
        <w:t>;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A ordinary shares contained in </w:t>
      </w:r>
      <w:hyperlink r:id="rId16">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year ended March 31, 2026 filed with the SEC on June 8, 2026.</w:t>
      </w:r>
    </w:p>
    <w:p>
      <w:pPr>
        <w:spacing w:after="0" w:line="189" w:lineRule="exact"/>
        <w:rPr>
          <w:rFonts w:ascii="Times New Roman" w:cs="Times New Roman" w:eastAsia="Times New Roman" w:hAnsi="Times New Roman"/>
          <w:sz w:val="18"/>
          <w:szCs w:val="18"/>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documents filed by the Registrant with the SEC pursuant to Sections 13(a), 13(c), 14 and 15(d) of the Securities Exchange Act of 1934, as amended (the “Exchange Act”) (excluding any documents or portions of such documents that are furnished under Item 2.02 or Item 7.01 of a Current Report on Form 8-K and any exhibits included with such Items), on or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date of the filing of such documents; provided, however, that documents or information deemed to have been furnished and not filed in accordance with the rules of the SEC shall not be deemed incorporated by reference into this Registration Statement.</w:t>
      </w:r>
    </w:p>
    <w:p>
      <w:pPr>
        <w:spacing w:after="0" w:line="189"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28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59"/>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4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100" w:type="dxa"/>
            <w:vAlign w:val="bottom"/>
            <w:tcBorders>
              <w:bottom w:val="single" w:sz="8" w:color="0000EE"/>
            </w:tcBorders>
            <w:gridSpan w:val="9"/>
            <w:shd w:val="clear" w:color="auto" w:fill="CCEEFF"/>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Second Amended &amp; Restated Memorandum and Articles of Association of Aeries Technology, Inc. (incorporated by reference to Exhibit</w:t>
              </w:r>
            </w:hyperlink>
          </w:p>
        </w:tc>
      </w:tr>
      <w:tr>
        <w:trPr>
          <w:trHeight w:val="217"/>
        </w:trPr>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 No. 001-40920) filed with the Commission on April 2, 2025).</w:t>
              </w:r>
            </w:hyperlink>
          </w:p>
        </w:tc>
      </w:tr>
      <w:tr>
        <w:trPr>
          <w:trHeight w:val="216"/>
        </w:trPr>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Maples &amp; Calder (Cayman) LLP.</w:t>
            </w:r>
          </w:p>
        </w:tc>
      </w:tr>
      <w:tr>
        <w:trPr>
          <w:trHeight w:val="216"/>
        </w:trPr>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Maples &amp; Calder (Cayman) LLP (included in Exhibit 5.1)</w:t>
            </w:r>
          </w:p>
        </w:tc>
      </w:tr>
      <w:tr>
        <w:trPr>
          <w:trHeight w:val="216"/>
        </w:trPr>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Manohar Chowdhry &amp; Associates, independent registered accounting firm for Aeries Technology, Inc.</w:t>
            </w:r>
          </w:p>
        </w:tc>
      </w:tr>
      <w:tr>
        <w:trPr>
          <w:trHeight w:val="216"/>
        </w:trPr>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r>
      <w:tr>
        <w:trPr>
          <w:trHeight w:val="216"/>
        </w:trPr>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75"/>
        </w:trPr>
        <w:tc>
          <w:tcPr>
            <w:tcW w:w="9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Aeries Technology, Inc. 2023 Equity Incentive Plan (incorporated by reference to Exhibit 10.31 to the Company’s current report on Form 8-</w:t>
              </w:r>
            </w:hyperlink>
          </w:p>
        </w:tc>
      </w:tr>
      <w:tr>
        <w:trPr>
          <w:trHeight w:val="217"/>
        </w:trPr>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K (File No. 001-40920) filed with the Commission on November 13, 2023).</w:t>
              </w:r>
            </w:hyperlink>
          </w:p>
        </w:tc>
      </w:tr>
      <w:tr>
        <w:trPr>
          <w:trHeight w:val="216"/>
        </w:trPr>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75"/>
        </w:trPr>
        <w:tc>
          <w:tcPr>
            <w:tcW w:w="9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Amendment No. 1 to the 2023 Equity Incentive Plan (incorporated by reference to Exhibit 10.1 to the Company’s current report on Form 8-</w:t>
              </w:r>
            </w:hyperlink>
          </w:p>
        </w:tc>
      </w:tr>
      <w:tr>
        <w:trPr>
          <w:trHeight w:val="217"/>
        </w:trPr>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K (File No. 001-40920) filed with the SEC on June 11, 2024).</w:t>
              </w:r>
            </w:hyperlink>
          </w:p>
        </w:tc>
      </w:tr>
      <w:tr>
        <w:trPr>
          <w:trHeight w:val="216"/>
        </w:trPr>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75"/>
        </w:trPr>
        <w:tc>
          <w:tcPr>
            <w:tcW w:w="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Raleigh, North Carolina, on June 8, 2026.</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Aeries Technology,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Bhisham (Ajay) Khare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Bhisham (Ajay) Khare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Ajay Khare and Venu Raman Kumar, and each of them, as his or her true and lawful attorneys-in-fact and agents, with full power of substitution and resubstitution, for him or her and in his or her name, place and stead, in any and all capacities, to sign the Registration Statement on Form S-8 of Aeries Technology, Inc., and any or all amendments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44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Bhisham (Ajay) Khare</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178"/>
        </w:trPr>
        <w:tc>
          <w:tcPr>
            <w:tcW w:w="4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Bhisham (Ajay) Khare</w:t>
            </w:r>
          </w:p>
        </w:tc>
        <w:tc>
          <w:tcPr>
            <w:tcW w:w="240" w:type="dxa"/>
            <w:vAlign w:val="bottom"/>
          </w:tcPr>
          <w:p>
            <w:pPr>
              <w:spacing w:after="0"/>
              <w:rPr>
                <w:sz w:val="15"/>
                <w:szCs w:val="15"/>
                <w:color w:val="auto"/>
              </w:rPr>
            </w:pPr>
          </w:p>
        </w:tc>
        <w:tc>
          <w:tcPr>
            <w:tcW w:w="47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(Principal Executive Officer, Principal Financial Officer and</w:t>
            </w:r>
          </w:p>
        </w:tc>
        <w:tc>
          <w:tcPr>
            <w:tcW w:w="1800" w:type="dxa"/>
            <w:vAlign w:val="bottom"/>
          </w:tcPr>
          <w:p>
            <w:pPr>
              <w:spacing w:after="0"/>
              <w:rPr>
                <w:sz w:val="15"/>
                <w:szCs w:val="15"/>
                <w:color w:val="auto"/>
              </w:rPr>
            </w:pPr>
          </w:p>
        </w:tc>
      </w:t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00" w:type="dxa"/>
            <w:vAlign w:val="bottom"/>
          </w:tcPr>
          <w:p>
            <w:pPr>
              <w:spacing w:after="0"/>
              <w:rPr>
                <w:sz w:val="20"/>
                <w:szCs w:val="20"/>
                <w:color w:val="auto"/>
              </w:rPr>
            </w:pPr>
          </w:p>
        </w:tc>
      </w:tr>
      <w:tr>
        <w:trPr>
          <w:trHeight w:val="432"/>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Venu Raman Kumar</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Venu Raman Kumar</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Alok Kochhar</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Alok Kochhar</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Biswajit Dasgupta</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Biswajit Dasgupta</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Nina B. Shapiro</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8,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Nina B. Shapiro</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542"/>
        </w:trPr>
        <w:tc>
          <w:tcPr>
            <w:tcW w:w="45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right"/>
              <w:ind w:right="347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28700" cy="977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2870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Our ref</w:t>
      </w:r>
      <w:r>
        <w:rPr>
          <w:sz w:val="20"/>
          <w:szCs w:val="20"/>
          <w:color w:val="auto"/>
        </w:rPr>
        <w:tab/>
      </w:r>
      <w:r>
        <w:rPr>
          <w:rFonts w:ascii="Times New Roman" w:cs="Times New Roman" w:eastAsia="Times New Roman" w:hAnsi="Times New Roman"/>
          <w:sz w:val="17"/>
          <w:szCs w:val="17"/>
          <w:color w:val="auto"/>
        </w:rPr>
        <w:t>UCJ/785272-000004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Aeries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June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Aeries Technology, Inc.</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acted as counsel as to Cayman Islands law to Aeries Technology,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provide this opinion letter in connection with the Company’s registration statement on Form S-8, including all amendments or supplements thereto,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(including its exhibits,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related to the registration of 2,227,899 Class A ordinary shares of the Company of a par value of US$0.0001 each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authorised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issuance pursuant to the Company’s 2023 Equity Incentive Plan, as amended by Amendment No. 1 to the Company’s 2023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reviewed originals, copies, drafts or conformed copies of the following documents: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certificate of incorporation dated 8 March 2021, the certificate of change of name dated 8 November 2023 and the second amended and restated memorandum and articles of association of the Company as adopted on 27 March 2025, as amended on 3 March 2026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written resolutions of the board of directors of the Company dated 8 June 2024 (the “</w:t>
      </w:r>
      <w:r>
        <w:rPr>
          <w:rFonts w:ascii="Times New Roman" w:cs="Times New Roman" w:eastAsia="Times New Roman" w:hAnsi="Times New Roman"/>
          <w:sz w:val="18"/>
          <w:szCs w:val="18"/>
          <w:b w:val="1"/>
          <w:bCs w:val="1"/>
          <w:color w:val="auto"/>
        </w:rPr>
        <w:t>2024 Resolutions</w:t>
      </w:r>
      <w:r>
        <w:rPr>
          <w:rFonts w:ascii="Times New Roman" w:cs="Times New Roman" w:eastAsia="Times New Roman" w:hAnsi="Times New Roman"/>
          <w:sz w:val="18"/>
          <w:szCs w:val="18"/>
          <w:color w:val="auto"/>
        </w:rPr>
        <w:t>”), the minutes (the “</w:t>
      </w:r>
      <w:r>
        <w:rPr>
          <w:rFonts w:ascii="Times New Roman" w:cs="Times New Roman" w:eastAsia="Times New Roman" w:hAnsi="Times New Roman"/>
          <w:sz w:val="18"/>
          <w:szCs w:val="18"/>
          <w:b w:val="1"/>
          <w:bCs w:val="1"/>
          <w:color w:val="auto"/>
        </w:rPr>
        <w:t>Minutes</w:t>
      </w:r>
      <w:r>
        <w:rPr>
          <w:rFonts w:ascii="Times New Roman" w:cs="Times New Roman" w:eastAsia="Times New Roman" w:hAnsi="Times New Roman"/>
          <w:sz w:val="18"/>
          <w:szCs w:val="18"/>
          <w:color w:val="auto"/>
        </w:rPr>
        <w:t>”) of the meeting of the board of directors of the Company held on 18 June 2025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and the written resolutions of the board of directors of the Company dated 26 December 2025 (the “</w:t>
      </w:r>
      <w:r>
        <w:rPr>
          <w:rFonts w:ascii="Times New Roman" w:cs="Times New Roman" w:eastAsia="Times New Roman" w:hAnsi="Times New Roman"/>
          <w:sz w:val="18"/>
          <w:szCs w:val="18"/>
          <w:b w:val="1"/>
          <w:bCs w:val="1"/>
          <w:color w:val="auto"/>
        </w:rPr>
        <w:t>2025 Resolutions</w:t>
      </w:r>
      <w:r>
        <w:rPr>
          <w:rFonts w:ascii="Times New Roman" w:cs="Times New Roman" w:eastAsia="Times New Roman" w:hAnsi="Times New Roman"/>
          <w:sz w:val="18"/>
          <w:szCs w:val="18"/>
          <w:color w:val="auto"/>
        </w:rPr>
        <w:t>”, and together with the 2024 Resolutions,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1125220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6000750"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000750" cy="63436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following corporate records of the Company maintained at its registered office in the Cayman Islands, each as at the date of this opinion letter:</w:t>
      </w:r>
    </w:p>
    <w:p>
      <w:pPr>
        <w:spacing w:after="0" w:line="162"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of Directors and Officers of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of Mortgages and Charges of the Company.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certificate of good standing with respect to the Company issued by the Registrar of Companies (the “</w:t>
      </w:r>
      <w:r>
        <w:rPr>
          <w:rFonts w:ascii="Times New Roman" w:cs="Times New Roman" w:eastAsia="Times New Roman" w:hAnsi="Times New Roman"/>
          <w:sz w:val="17"/>
          <w:szCs w:val="17"/>
          <w:b w:val="1"/>
          <w:bCs w:val="1"/>
          <w:color w:val="auto"/>
        </w:rPr>
        <w:t>Certificate of Good Standing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to this opinion letter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The Plan.</w:t>
      </w:r>
    </w:p>
    <w:p>
      <w:pPr>
        <w:spacing w:after="0" w:line="2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Registration Statement and the Plan have been or will be authorised and duly executed and unconditionally delivered by or on behalf of all relevant parties in accordance with all relevant laws (other than, with respect to the Company, the laws of the Cayman Islands).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Plan is, or will be, legal, valid, binding and enforceable against all relevant parties in accordance with their terms under the laws of Delaware (the “</w:t>
      </w:r>
      <w:r>
        <w:rPr>
          <w:rFonts w:ascii="Times New Roman" w:cs="Times New Roman" w:eastAsia="Times New Roman" w:hAnsi="Times New Roman"/>
          <w:sz w:val="18"/>
          <w:szCs w:val="18"/>
          <w:b w:val="1"/>
          <w:bCs w:val="1"/>
          <w:color w:val="auto"/>
        </w:rPr>
        <w:t>Relevant Law</w:t>
      </w:r>
      <w:r>
        <w:rPr>
          <w:rFonts w:ascii="Times New Roman" w:cs="Times New Roman" w:eastAsia="Times New Roman" w:hAnsi="Times New Roman"/>
          <w:sz w:val="18"/>
          <w:szCs w:val="18"/>
          <w:color w:val="auto"/>
        </w:rPr>
        <w:t>”) and all relevant laws (other than, with respect to the Company, the laws of the Cayman Islands).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choice the Relevant Law as the governing law of the Plan has been made in good faith and would be regarded as a valid and binding selection which will be upheld by the courts any relevant jurisdiction (other than the Cayman Islands) as a matter of all relevant laws (other than the laws of the Cayman Islands).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Copies of documents, conformed copies or drafts of documents provided to us are true and complete copies of, or in the final forms of, the originals.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All signatures, initials and seals are genuine.</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Plan.</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No monies paid to or for the account of any party under the Registration Statement or the Plan or any property received or disposed of by any party to the Registration Statement or the Plan in each case in connection with the Registration Statement or the Plan or the consummation of the transactions contemplated thereby represent or will represent proceeds of criminal conduct or criminal property or terrorist property (as defined in the Proceeds of Crime Act (As Revised) and the Terrorism Act (As Revised), respectively).</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There is nothing contained in the minutes book or corporate records of the Company (which, other than the records set out in paragraph 1.3 of this opinion letter, we have not inspected) which would or might affect the opinion set out below.</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There is nothing under any law (other than the laws of the Cayman Islands) which would or might affect the opinions set out below. Specifically, we have made no independent investigation of the Relevant Law.</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The Company will receive money or money’s worth in consideration for the issue of the Shares and none of the Shares were or will be issued for less than par value.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Save as aforesaid we have not been instructed to undertake and have not undertaken any further enquiry or due diligence in relation to the transaction the subject of this opinion.</w:t>
      </w:r>
    </w:p>
    <w:p>
      <w:pPr>
        <w:spacing w:after="0" w:line="15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assumptions and the qualifications set out below, and having regard to such legal considerations as we deem relevant, we are of the opinion that: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Shares to be offered and issued by the Company pursuant to the provisions of the Plan, have been duly authorised for issue, and when such Shares are issued by the Company in accordance with the Memorandum and Articles and the Plan for the consideration fixed thereto and duly registered in the Company’s register of members (shareholders), will be validly issued and (assuming that all of the consideration is received by the Company) will be fully paid and non-assessable.</w:t>
      </w:r>
    </w:p>
    <w:p>
      <w:pPr>
        <w:spacing w:after="0" w:line="17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obligations assumed by the Company under the Plan will not necessarily be enforceable in all circumstances in accordance with their terms.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particular:</w:t>
      </w:r>
    </w:p>
    <w:p>
      <w:pPr>
        <w:spacing w:after="0" w:line="207" w:lineRule="exact"/>
        <w:rPr>
          <w:sz w:val="20"/>
          <w:szCs w:val="20"/>
          <w:color w:val="auto"/>
        </w:rPr>
      </w:pPr>
    </w:p>
    <w:p>
      <w:pPr>
        <w:ind w:left="1300" w:right="2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bankruptcy, insolvency, liquidation, reorganisation, readjustment of debts or moratorium or other laws of general application relating to protecting or affecting the rights of creditors and/or contributories;</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where damages are considered to be an adequate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Cayman Islands, they may not be enforceable in the Cayman Islands to the extent that performance would be illegal under the laws of that jurisdiction;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6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Under Cayman Islands law, the register of members (shareholders)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Shares, then the validity of such shares may be subject to re-examination by a Cayman Islands court.</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providing our consent, we do not thereby admit that we are in the category of persons whose consent is required under Section 7 of the Act or the Rules and Regulations of the Commission thereunder.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express no view as to the commercial terms of the Plan or whether such terms represent the intentions of the parties and make no comment with regard to warranties or representations that may be made by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opinions in this opinion letter are strictly limited to the matters contained in the opinions section above and do not extend to any other matters. We have not been asked to review and we therefore have not reviewed any of the ancillary documents relating to the Plan and express no opinion or observation upon the terms of any such document.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addressed to you and may be relied upon by you, your counsel and purchasers of the Shares pursuant to the Registration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limited to the matters detailed herein and is not to be read as an opinion with respect to any other matter.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(Cayman)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(Cayman) LLP</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color w:val="auto"/>
        </w:rPr>
        <w:t>Aeries Technology,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Cayman Islands</w:t>
      </w:r>
    </w:p>
    <w:p>
      <w:pPr>
        <w:sectPr>
          <w:pgSz w:w="11900" w:h="16838" w:orient="portrait"/>
          <w:cols w:equalWidth="0" w:num="1">
            <w:col w:w="11240"/>
          </w:cols>
          <w:pgMar w:left="320" w:top="796"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Maples and Calder (Cayman)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0" w:lineRule="exact"/>
        <w:rPr>
          <w:sz w:val="20"/>
          <w:szCs w:val="20"/>
          <w:color w:val="auto"/>
        </w:rPr>
      </w:pPr>
    </w:p>
    <w:p>
      <w:pPr>
        <w:sectPr>
          <w:pgSz w:w="11900" w:h="16838" w:orient="portrait"/>
          <w:cols w:equalWidth="0" w:num="2">
            <w:col w:w="240" w:space="420"/>
            <w:col w:w="10580"/>
          </w:cols>
          <w:pgMar w:left="320" w:top="79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June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Aeries Technology,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 the undersigned, being a director of the Company, am aware that you are being asked to provide an opinion letter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17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remain in full force and effect and have not been amended since 3 March 2026.</w:t>
      </w:r>
    </w:p>
    <w:p>
      <w:pPr>
        <w:spacing w:after="0" w:line="225" w:lineRule="exact"/>
        <w:rPr>
          <w:sz w:val="20"/>
          <w:szCs w:val="20"/>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mortgages or charges over its property or assets other than those entered in the register of mortgages and charges of the Company.</w:t>
      </w:r>
    </w:p>
    <w:p>
      <w:pPr>
        <w:spacing w:after="0" w:line="162" w:lineRule="exact"/>
        <w:rPr>
          <w:sz w:val="20"/>
          <w:szCs w:val="20"/>
          <w:color w:val="auto"/>
        </w:rPr>
      </w:pPr>
    </w:p>
    <w:p>
      <w:pPr>
        <w:ind w:left="660" w:right="2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162" w:lineRule="exact"/>
        <w:rPr>
          <w:sz w:val="20"/>
          <w:szCs w:val="20"/>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are a true and correct record of the proceedings of the Meeting, which was duly convened and held, and at which a quorum was present throughout, in each case, in the manner prescribed in the Memorandum and Articles. The resolutions set out in the Minutes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180" w:lineRule="exact"/>
        <w:rPr>
          <w:sz w:val="20"/>
          <w:szCs w:val="20"/>
          <w:color w:val="auto"/>
        </w:rPr>
      </w:pPr>
    </w:p>
    <w:p>
      <w:pPr>
        <w:jc w:val="both"/>
        <w:ind w:left="66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US$50,500.0001 divided into 500,000,000 Class A ordinary shares of a par value of US$0.0001 each, 1 Class V ordinary share of a par value of US$0.0001 and 5,000,000 preference shares of a par value of US$0.0001 each. As at the date of this certificate, the issued share capital of the Company is 48,497,154 Class A ordinary shares, $0.0001 par value and 1 Class V ordinary share, $0.0001 par value, which have been duly authorised and are validly issued as fully-paid and non-assessable.</w:t>
      </w:r>
    </w:p>
    <w:p>
      <w:pPr>
        <w:spacing w:after="0" w:line="180" w:lineRule="exact"/>
        <w:rPr>
          <w:sz w:val="20"/>
          <w:szCs w:val="20"/>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date of the 2024 Resolutions were Daniel S. Webb, Biswajit Dasgupta, Alok Kochhar, Venu Raman Kumar, Sudhir Appukuttan Panikassery, Nina B. Shapiro and Ramesh Venkataraman.</w:t>
      </w:r>
    </w:p>
    <w:p>
      <w:pPr>
        <w:spacing w:after="0" w:line="162" w:lineRule="exact"/>
        <w:rPr>
          <w:sz w:val="20"/>
          <w:szCs w:val="20"/>
          <w:color w:val="auto"/>
        </w:rPr>
      </w:pPr>
    </w:p>
    <w:p>
      <w:pPr>
        <w:ind w:left="660" w:right="2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date of the Minutes were Biswajit Dasgupta, Alok Kochhar, Venu Raman Kumar, Sudhir Appukuttan Panikassery, Nina B. Shapiro, Ramesh Venkataraman and Bhisham (Ajay) Khare.</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0" w:name="page11"/>
    <w:bookmarkEnd w:id="10"/>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date of the 2025 Resolutions and the date of this certificate are as follows: Bhisham (Ajay) Khare, Venu Raman Kumar, Alok Kochhar, Biswajit Dasgupta and Nina B. Shapiro.</w:t>
      </w:r>
    </w:p>
    <w:p>
      <w:pPr>
        <w:spacing w:after="0" w:line="162" w:lineRule="exact"/>
        <w:rPr>
          <w:sz w:val="20"/>
          <w:szCs w:val="20"/>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w:t>
      </w:r>
    </w:p>
    <w:p>
      <w:pPr>
        <w:spacing w:after="0" w:line="180" w:lineRule="exact"/>
        <w:rPr>
          <w:sz w:val="20"/>
          <w:szCs w:val="20"/>
          <w:color w:val="auto"/>
        </w:rPr>
      </w:pPr>
    </w:p>
    <w:p>
      <w:pPr>
        <w:jc w:val="both"/>
        <w:ind w:left="6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at the time of, and immediately following the approval of the transactions contemplated by the Registration Statement and the Plan, the Company was, or will be, able to pay its debts as they fell, or fall, due and has entered, or will enter, into the transactions contemplated by the Registration Statement and the Plan for proper value and not with an intention to defraud or wilfully defeat an obligation owed to any creditor or with a view to giving a creditor a preference.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 considers the transactions contemplated by the Registration Statement and the Plan to be of commercial benefit to the Company and has acted in good faith in the best interests of the Company, and for a proper purpose of the Company, in relation to the transactions which are the subject of the Opinion.</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 Company is not the subject of legal, arbitral, administrative or other proceedings in any jurisdiction and neither the directors nor Shareholders have taken any steps to have the Company struck off or placed in liquidation. Further, no steps have been taken to wind up the Company or to appoint restructuring officers or interim restructuring officers, and no receiver has been appointed in relation to any of the Company’s property or assets.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Plan have been, or will be, authorised and, where applicable, duly executed and delivered by or on behalf of all relevant parties in accordance with all relevant laws.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made or will be made by or on behalf of the Company to the public in the Cayman Islands to subscribe for any of the Shares.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pursuant to the Registration Statement have been, or will be, duly registered, and will continue to be registered, in the Company’s register of members (shareholders).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central bank, monetary authority or other sovereign entity of any state and is not a subsidiary, direct or indirect, of any sovereign entity or state.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or will receive money or money’s worth in consideration for the issue of the Shares and none of the Shares will be issued for less than par value.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ind w:right="20"/>
        <w:spacing w:after="0" w:line="282" w:lineRule="auto"/>
        <w:rPr>
          <w:sz w:val="20"/>
          <w:szCs w:val="20"/>
          <w:color w:val="auto"/>
        </w:rPr>
      </w:pPr>
      <w:r>
        <w:rPr>
          <w:rFonts w:ascii="Times New Roman" w:cs="Times New Roman" w:eastAsia="Times New Roman" w:hAnsi="Times New Roman"/>
          <w:sz w:val="18"/>
          <w:szCs w:val="18"/>
          <w:color w:val="auto"/>
        </w:rPr>
        <w:t>I confirm that you may continue to rely on this certificate as being true and correct on the day that you issue the Opinion unless I shall have previously notified you in writing personally to the contrary.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Bhisham (Ajay) Khare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3137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Bhisham (Ajay) Khare</w:t>
      </w:r>
    </w:p>
    <w:p>
      <w:pPr>
        <w:spacing w:after="0" w:line="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June 8, 2026 on the consolidated financial statements of Aeries Technology, Inc. and its subsidiaries, appearing in the annual report on Form 10-K of Aeries Technology, Inc. for the year ended March 31, 2026. Our report includes an explanatory paragraph expressing substantial doubt regarding the Company’s ability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Manohar Chowdhry &amp; Associates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Manohar Chowdhry &amp; Associates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Chennai, India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720" w:type="dxa"/>
            <w:vAlign w:val="bottom"/>
            <w:tcBorders>
              <w:top w:val="single" w:sz="8" w:color="auto"/>
              <w:left w:val="single" w:sz="8" w:color="auto"/>
              <w:right w:val="single" w:sz="8" w:color="auto"/>
            </w:tcBorders>
          </w:tcPr>
          <w:p>
            <w:pPr>
              <w:spacing w:after="0"/>
              <w:rPr>
                <w:sz w:val="21"/>
                <w:szCs w:val="21"/>
                <w:color w:val="auto"/>
              </w:rPr>
            </w:pPr>
          </w:p>
        </w:tc>
        <w:tc>
          <w:tcPr>
            <w:tcW w:w="224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6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2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38"/>
        </w:trPr>
        <w:tc>
          <w:tcPr>
            <w:tcW w:w="1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2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Security Class Title</w:t>
            </w:r>
          </w:p>
        </w:tc>
        <w:tc>
          <w:tcPr>
            <w:tcW w:w="120" w:type="dxa"/>
            <w:vAlign w:val="bottom"/>
          </w:tcPr>
          <w:p>
            <w:pPr>
              <w:spacing w:after="0"/>
              <w:rPr>
                <w:sz w:val="20"/>
                <w:szCs w:val="20"/>
                <w:color w:val="auto"/>
              </w:rPr>
            </w:pPr>
          </w:p>
        </w:tc>
        <w:tc>
          <w:tcPr>
            <w:tcW w:w="156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Unit(2)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A ordinary shares, par</w:t>
            </w:r>
          </w:p>
        </w:tc>
        <w:tc>
          <w:tcPr>
            <w:tcW w:w="120" w:type="dxa"/>
            <w:vAlign w:val="bottom"/>
          </w:tcPr>
          <w:p>
            <w:pPr>
              <w:spacing w:after="0"/>
              <w:rPr>
                <w:sz w:val="20"/>
                <w:szCs w:val="20"/>
                <w:color w:val="auto"/>
              </w:rPr>
            </w:pPr>
          </w:p>
        </w:tc>
        <w:tc>
          <w:tcPr>
            <w:tcW w:w="156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457(c) and 457(h)</w:t>
            </w:r>
          </w:p>
        </w:tc>
        <w:tc>
          <w:tcPr>
            <w:tcW w:w="112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2,227,899</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$0.7705(3)</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$1,716,596.18</w:t>
            </w:r>
          </w:p>
        </w:tc>
        <w:tc>
          <w:tcPr>
            <w:tcW w:w="11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0.00013810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$237.07</w:t>
            </w: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value $0.0001 per share</w:t>
            </w:r>
          </w:p>
        </w:tc>
        <w:tc>
          <w:tcPr>
            <w:tcW w:w="120" w:type="dxa"/>
            <w:vAlign w:val="bottom"/>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gridSpan w:val="2"/>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tcBorders>
          </w:tcPr>
          <w:p>
            <w:pPr>
              <w:spacing w:after="0"/>
              <w:rPr>
                <w:sz w:val="21"/>
                <w:szCs w:val="21"/>
                <w:color w:val="auto"/>
              </w:rPr>
            </w:pPr>
          </w:p>
        </w:tc>
        <w:tc>
          <w:tcPr>
            <w:tcW w:w="392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Total Offering Amount</w:t>
            </w: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$1,716,596.18</w:t>
            </w: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$237.07</w:t>
            </w:r>
          </w:p>
        </w:tc>
        <w:tc>
          <w:tcPr>
            <w:tcW w:w="0" w:type="dxa"/>
            <w:vAlign w:val="bottom"/>
          </w:tcPr>
          <w:p>
            <w:pPr>
              <w:spacing w:after="0"/>
              <w:rPr>
                <w:sz w:val="1"/>
                <w:szCs w:val="1"/>
                <w:color w:val="auto"/>
              </w:rPr>
            </w:pPr>
          </w:p>
        </w:tc>
      </w:tr>
      <w:tr>
        <w:trPr>
          <w:trHeight w:val="41"/>
        </w:trPr>
        <w:tc>
          <w:tcPr>
            <w:tcW w:w="1720" w:type="dxa"/>
            <w:vAlign w:val="bottom"/>
            <w:tcBorders>
              <w:left w:val="single" w:sz="8" w:color="auto"/>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tcBorders>
          </w:tcPr>
          <w:p>
            <w:pPr>
              <w:spacing w:after="0"/>
              <w:rPr>
                <w:sz w:val="21"/>
                <w:szCs w:val="21"/>
                <w:color w:val="auto"/>
              </w:rPr>
            </w:pPr>
          </w:p>
        </w:tc>
        <w:tc>
          <w:tcPr>
            <w:tcW w:w="236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56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tcBorders>
          </w:tcPr>
          <w:p>
            <w:pPr>
              <w:spacing w:after="0"/>
              <w:rPr>
                <w:sz w:val="21"/>
                <w:szCs w:val="21"/>
                <w:color w:val="auto"/>
              </w:rPr>
            </w:pPr>
          </w:p>
        </w:tc>
        <w:tc>
          <w:tcPr>
            <w:tcW w:w="236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56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$237.07</w:t>
            </w: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4"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(“Registration Statement”) also covers an additional indeterminate number of additional Class A ordinary shares, par value $0.0001 per share (“Ordinary Shares”) of Aeries Technology, Inc. (the “Registrant”), which may be offered and issued under the Aeries Technology, Inc. 2023 Equity Incentive Plan, as amended (the “Plan”), by reason of any stock dividends, stock splits, recapitalizations or other similar transactions effected without receipt of consideration that increases the number of outstanding shares of the Registrant’s Ordinary Shares.</w:t>
      </w:r>
    </w:p>
    <w:p>
      <w:pPr>
        <w:spacing w:after="0" w:line="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which was computed in accordance with Rule 457(c) and Rule 457(h)(1) under the Securities Act.</w:t>
      </w:r>
    </w:p>
    <w:p>
      <w:pPr>
        <w:jc w:val="both"/>
        <w:ind w:left="340" w:hanging="332"/>
        <w:spacing w:after="0" w:line="255"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registered represents shares of Ordinary Shares reserved for future award grants under the Plan. The corresponding proposed maximum offering price per share, estimated solely for the purposes of calculating the registration fee under Rule 457(h) of the Securities Act is based on the average of the high and low sales prices per share of the Ordinary Shares as reported on the Nasdaq Capital Market on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2"/>
      <w:numFmt w:val="bullet"/>
      <w:start w:val="1"/>
    </w:lvl>
  </w:abstractNum>
  <w:abstractNum w:abstractNumId="5">
    <w:nsid w:val="3352255A"/>
    <w:multiLevelType w:val="hybridMultilevel"/>
    <w:lvl w:ilvl="0">
      <w:lvlJc w:val="left"/>
      <w:lvlText w:val="3"/>
      <w:numFmt w:val="bullet"/>
      <w:start w:val="1"/>
    </w:lvl>
  </w:abstractNum>
  <w:abstractNum w:abstractNumId="6">
    <w:nsid w:val="109CF92E"/>
    <w:multiLevelType w:val="hybridMultilevel"/>
    <w:lvl w:ilvl="0">
      <w:lvlJc w:val="left"/>
      <w:lvlText w:val="4"/>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2"/>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4"/>
      <w:numFmt w:val="bullet"/>
      <w:start w:val="1"/>
    </w:lvl>
  </w:abstractNum>
  <w:abstractNum w:abstractNumId="13">
    <w:nsid w:val="25E45D32"/>
    <w:multiLevelType w:val="hybridMultilevel"/>
    <w:lvl w:ilvl="0">
      <w:lvlJc w:val="left"/>
      <w:lvlText w:val="5"/>
      <w:numFmt w:val="bullet"/>
      <w:start w:val="1"/>
    </w:lvl>
  </w:abstractNum>
  <w:abstractNum w:abstractNumId="14">
    <w:nsid w:val="519B500D"/>
    <w:multiLevelType w:val="hybridMultilevel"/>
    <w:lvl w:ilvl="0">
      <w:lvlJc w:val="left"/>
      <w:lvlText w:val="6"/>
      <w:numFmt w:val="bullet"/>
      <w:start w:val="1"/>
    </w:lvl>
  </w:abstractNum>
  <w:abstractNum w:abstractNumId="15">
    <w:nsid w:val="431BD7B7"/>
    <w:multiLevelType w:val="hybridMultilevel"/>
    <w:lvl w:ilvl="0">
      <w:lvlJc w:val="left"/>
      <w:lvlText w:val="7"/>
      <w:numFmt w:val="bullet"/>
      <w:start w:val="1"/>
    </w:lvl>
  </w:abstractNum>
  <w:abstractNum w:abstractNumId="16">
    <w:nsid w:val="3F2DBA31"/>
    <w:multiLevelType w:val="hybridMultilevel"/>
    <w:lvl w:ilvl="0">
      <w:lvlJc w:val="left"/>
      <w:lvlText w:val="8"/>
      <w:numFmt w:val="bullet"/>
      <w:start w:val="1"/>
    </w:lvl>
  </w:abstractNum>
  <w:abstractNum w:abstractNumId="17">
    <w:nsid w:val="7C83E458"/>
    <w:multiLevelType w:val="hybridMultilevel"/>
    <w:lvl w:ilvl="0">
      <w:lvlJc w:val="left"/>
      <w:lvlText w:val="9"/>
      <w:numFmt w:val="bullet"/>
      <w:start w:val="1"/>
    </w:lvl>
  </w:abstractNum>
  <w:abstractNum w:abstractNumId="18">
    <w:nsid w:val="257130A3"/>
    <w:multiLevelType w:val="hybridMultilevel"/>
    <w:lvl w:ilvl="0">
      <w:lvlJc w:val="left"/>
      <w:lvlText w:val="%1"/>
      <w:numFmt w:val="decimal"/>
      <w:start w:val="10"/>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jpeg"/><Relationship Id="rId25" Type="http://schemas.openxmlformats.org/officeDocument/2006/relationships/image" Target="media/image12.png"/><Relationship Id="rId26" Type="http://schemas.openxmlformats.org/officeDocument/2006/relationships/image" Target="media/image13.jpe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14" Type="http://schemas.openxmlformats.org/officeDocument/2006/relationships/hyperlink" Target="http://www.sec.gov/Archives/edgar/data/1853044/000182912626006123/aeriestech_10k.htm" TargetMode="External"/><Relationship Id="rId15" Type="http://schemas.openxmlformats.org/officeDocument/2006/relationships/hyperlink" Target="https://www.sec.gov/ix?doc=/Archives/edgar/data/0001853044/000182912626003161/aeriestech_8k.htm" TargetMode="External"/><Relationship Id="rId16" Type="http://schemas.openxmlformats.org/officeDocument/2006/relationships/hyperlink" Target="http://www.sec.gov/Archives/edgar/data/1853044/000182912626006123/aeriestech_ex4-4.htm" TargetMode="External"/><Relationship Id="rId18" Type="http://schemas.openxmlformats.org/officeDocument/2006/relationships/hyperlink" Target="https://www.sec.gov/Archives/edgar/data/1853044/000182912625002332/aeriestech_ex3-1.htm" TargetMode="External"/><Relationship Id="rId19" Type="http://schemas.openxmlformats.org/officeDocument/2006/relationships/hyperlink" Target="https://www.sec.gov/Archives/edgar/data/1853044/000182912623007330/aeriestech_ex10-31.htm" TargetMode="External"/><Relationship Id="rId20" Type="http://schemas.openxmlformats.org/officeDocument/2006/relationships/hyperlink" Target="https://www.sec.gov/Archives/edgar/data/0001853044/000182912624004083/aeriestechnology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2026-06-08T06:23:52Z</dcterms:created>
  <dcterms:modified xsi:type="dcterms:W3CDTF">2026-06-08T06:23:52Z</dcterms:modified>
</cp:coreProperties>
</file>