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200" w:type="dxa"/>
            <w:vAlign w:val="bottom"/>
          </w:tcPr>
          <w:p>
            <w:pPr>
              <w:spacing w:after="0"/>
              <w:rPr>
                <w:sz w:val="20"/>
                <w:szCs w:val="20"/>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800" w:type="dxa"/>
            <w:vAlign w:val="bottom"/>
          </w:tcPr>
          <w:p>
            <w:pPr>
              <w:spacing w:after="0"/>
              <w:rPr>
                <w:sz w:val="20"/>
                <w:szCs w:val="20"/>
                <w:color w:val="auto"/>
              </w:rPr>
            </w:pPr>
          </w:p>
        </w:tc>
        <w:tc>
          <w:tcPr>
            <w:tcW w:w="2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820" w:type="dxa"/>
            <w:vAlign w:val="bottom"/>
          </w:tcPr>
          <w:p>
            <w:pPr>
              <w:spacing w:after="0"/>
              <w:rPr>
                <w:sz w:val="18"/>
                <w:szCs w:val="18"/>
                <w:color w:val="auto"/>
              </w:rPr>
            </w:pPr>
          </w:p>
        </w:tc>
        <w:tc>
          <w:tcPr>
            <w:tcW w:w="184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125730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9, 2026, Aeries Technology, Inc. (the “Company”) issued a press release containing its financial results for the quarter ended December 31, 2025. A copy of the press release is attached hereto as Exhibit 99.1 and is incorporated herein by reference. The Company filed its Quarterly Report on Form 10-Q for the quarter ended December 31, 2025 on February 9,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9, 2026</w:t>
      </w:r>
    </w:p>
    <w:p>
      <w:pPr>
        <w:spacing w:after="0" w:line="23" w:lineRule="exact"/>
        <w:rPr>
          <w:sz w:val="20"/>
          <w:szCs w:val="20"/>
          <w:color w:val="auto"/>
        </w:rPr>
      </w:pPr>
    </w:p>
    <w:p>
      <w:pPr>
        <w:ind w:left="5580" w:right="4320" w:hanging="5572"/>
        <w:spacing w:after="0" w:line="636"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Daniel S. Webb</w:t>
            </w:r>
          </w:p>
        </w:tc>
      </w:tr>
      <w:tr>
        <w:trPr>
          <w:trHeight w:val="189"/>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S. Webb</w:t>
            </w:r>
          </w:p>
        </w:tc>
      </w:tr>
      <w:tr>
        <w:trPr>
          <w:trHeight w:val="236"/>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560"/>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Aeries Technology Reports Third Quarter Fiscal 2026 Results; Increases FY26 Adjusted EBITDA Guidance; Issues FY27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Expansion, Operating Leverage and Multi-Year GCC Momentum Drive Increased Visibility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February 9, 2026 </w:t>
      </w:r>
      <w:r>
        <w:rPr>
          <w:rFonts w:ascii="Times New Roman" w:cs="Times New Roman" w:eastAsia="Times New Roman" w:hAnsi="Times New Roman"/>
          <w:sz w:val="18"/>
          <w:szCs w:val="18"/>
          <w:color w:val="auto"/>
        </w:rPr>
        <w:t>— Aeries Technology, Inc. (NASDAQ: AERT) (“Aeries” or the “Company”), a global leader in AI-powered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transformation and Global Capability Center (GCC) services, today announced financial results for its third quarter of fiscal 2026, ended December 31, 2025.</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performance through the third quarter and continued execution momentum, Aeries is increasing the current full-year fiscal 2026 adjusted EBITDA guidance to a range of $7 million to $8 million, compared to the prior guidance of $6 million to $8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2027, which runs from April 2026 through March 2027, and based on our current portfolio of signed contracts and active program expansions already underway, Aeries expects revenue in the range of $80 million to $84 million, with an adjusted EBITDA range of $10 million to $12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another quarter of solid performance driven by strong execution across India and Mexico, increasing adoption of transformation programs, and continued expansion of multi-year GCC engagements. Aeries also generated positive operating cash flow for the third consecutive quarter, reflecting improved operating leverage and cost discipline.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December 31, 2025, (Q3 FY2026)</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of $17.5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$1.2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$2.5 million and 14.1% margin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positive for the third consecutive quarter, at approximately $2.4 million.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results reflect continued progress in building a more predictable and efficient operating model, supported by automation-driven productivity gains, improved delivery utilization, and disciplined execution across client programs.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 was marked by continued activity across GCC engagements. During the quarter, Aeries continued to advance its automation and AI delivery initiatives and was recognized by industry analysts for its GCC setup and expansion capabilities. Demand from private equity portfolio companies and mid-market enterprises remained strong, contributing to increased client expansions and improved forward visibility.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To support continued scaling of client programs, Aeries has also strengthened its talent acquisition capabilities through a strategic partnership with a leading global recruitment firm, enhancing its ability to ramp GCC operations efficiently and support accelerated client onboarding across geographies.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consecutive quarter of positive operating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 year-over-year improvement in adjusted EBITDA and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expansion of multi-year GCC engagements across India and Mexico</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“Aeries continued to make solid progress this quarter, with stable revenue, improved adjusted EBITDA performance, and positive operating cash flow,” said Ajay Khare, Chief Executive Officer of Aeries Technology. “Based on our performance through the third quarter and increased visibility from signed and in-flight programs, we are increasing our current full-year fiscal 2026 adjusted EBITDA guidance to a range of $7 million to $8 million, compared to our prior guidance of $6 million to $8 million. and are providing an initial view into fiscal 2027, reflecting continued momentum in revenue growth and profitability. As more client programs reach steady state through our GCC engagement models, we are enabling more predictable and sustainable value creation for private equity-backed and mid-market enterprises.”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third quarter results reflect improving operating fundamentals, deeper client relationships, and continued progress in profitability and cash generation. The expanding contribution of automation, scaled GCC delivery, and multi-year program ramps supports increasing confidence in the Company’s medium- and long-term growth outlook.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 conference call to discuss its financial results on February 9, 2026, at 08:00 AM ET. The call will be accessible by telephone at 1-877-407-0792 (domestic) or 1-201-689-8263 (international). The call transcript will also be available on the company’s investor relations website at https://ir.aeriestechnology.com.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Aeries Technology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Aeries Technology (NASDAQ: AERT) is a global leader in AI-enabled value creation, business transformation, and Global Capability Center (GCC) delivery for private-equity (PE) portfolio companies, supporting scalable, technology-driven execution. Founded in 2012, its commitment to workforce development has earned it the Great Place to Work Certification for three consecutive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non-GAAP financial information and believes it is useful to investors as it provides additional information to facilitate comparisons of historical operating results, identify trends in its underlying operating results and provide additional insight and transparency on how it evaluates the business. The Company uses non-GAAP financial measures to budget, make operating and strategic decisions, and evaluate its performance. The Company has detailed the non-GAAP adjustments that it makes in the non-GAAP definitions below. The adjustments generally fall within the categories of non-cash items. The Company believes the non-GAAP measures presented herein should always be considered along with, and not as a substitute for or superior to, the related GAAP financial measures. In addition, similarly titled items used by other companies may not be comparable due to variations in how they are calculated and how terms are defined. For further information, see “Reconciliation of Non—GAAP Financial Measures” below, including the reconciliations of these non-GAAP measures to their most directly comparable GAAP financial measures.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Adjusted EBITDA as net income from operations before interest, income taxes, depreciation and amortization, further adjusted to exclude stock-based compensation, M&amp;A transaction-related costs, and changes in fair value of derivative liabilities.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key performance indicator the company uses in evaluating our operating performance and in making financial, operating, and planning decisions. The Company believes this measure is useful to investors in the evaluation of Aeries’ operating performance as such information was used by the Company’s management for internal reporting and planning procedures, including aspects of our consolidated operating budget and capital expenditures. Adjusted EBITDA as a measure has some limitations in that it does not reflect: (i) our cash expenditures or future requirements for capital expenditures or contractual commitments; (ii) foreign exchange gain/loss; (iii) changes in, or cash requirements for, working capital; (iv) significant interest expense or the cash requirements necessary to service interest or principal payments on our outstanding debt; (v) payments made or future requirements for income taxes; (vi) cash requirements for future replacement or payment in depreciated or amortized assets; (vii) stock based compensation costs, (viii) severance pay, (ix) Business Combination and M&amp;A transaction related costs, which represent non-recurring legal, professional, personnel and other fees and expenses incurred in connection with potential mergers and acquisitions related activities, and (x) change in fair value of derivative liabilities. We define Adjusted EBITDA Margin as Adjusted EBITDA divided by Revenue.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a reconciliation of forward-looking non-GAAP financial measures to the most directly comparable financial measures calculated and reported in accordance with GAAP, as the Company is unable to estimate significant non-recurring or unusual items without unreasonable effort. The amounts and timing of these items are uncertain and could be material to the company’s results calculated in accordance with GAAP.</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in this release that are not based on historical fact are “forward-looking statements” within the meaning of the Private Securities Litigation Reform Act of 1995 and the provisions of Section 27A of the Securities Act of 1933, as amended, and Section 21E of the Securities Exchange Act of 1934, as amended. Words such as “anticipate,” “believe,” “continue,” “could,” “estimate”, “expect”, “hope”, “intend”, “may”, “might”, “should”, “would”, “will”, “understand” and similar words are intended to identify forward looking statements. These forward-looking statements include but are not limited to, statements regarding our future operating results, outlook, guidance and financial position, our business strategy and plans, our objectives for future operations, potential acquisitions and macroeconomic trends. While management has based any forward-looking statements included in this release on its current expectations, the information on which such expectations were based may change. These forward-looking statements rely on a number of assumptions concerning future events and are subject to a number of risks, uncertainties and other factors, many of which are outside of the control of Aeries and its subsidiaries, which could cause actual results to materially differ from such statements. Such risks, uncertainties, and other factors include, but are not limited to, our ability to continue as a going concern; our ability to retain and expand our client base; changes in the business, market, financial, political and legal conditions in India, Singapore, the United States, Mexico, the Cayman Islands and other countries, including developments with respect to inflation, interest rates and the global supply chain, including with respect to economic and geopolitical uncertainty in many markets around the world, the potential of decelerating global economic growth and increased volatility in foreign currency exchange rates; the potential for our business development efforts to maximize our potential value; the ability to maintain the listing of our Class A ordinary shares and our public warrants on Nasdaq, and the potential liquidity and trading of our securities; changes in applicable laws or regulations and other regulatory developments in the United States, India, Singapore, Mexico, the Cayman Islands and other countries; our ability to develop and maintain effective internal controls, including our ability to remediate the material weakness in our internal controls over financial reporting; our success in retaining or recruiting, or changes required in, our officers, key employees or directors; our financial performance; our ability to make acquisitions, divestments or form joint ventures or otherwise make investments and the ability to successfully complete such transactions and integrate with our business; the period over which we anticipate our existing cash and cash equivalents will be sufficient to fund our operating expenses and capital expenditure requirements; the conflicts between Russia and Ukraine, and Israel and Hamas, and the tensions between China and Taiwan, and any restrictive actions that have been or may be taken by the U.S. and/or other countries in response thereto, such as sanctions or export controls; risks related to cybersecurity and data privacy; the impact of inflation; and the fluctuation of economic conditions, global conflicts, inflation and other global events on Aeries’ results of operations and global supply chain constraints. Further information on risks, uncertainties and other factors that could affect our financial results are included in Aeries’ periodic and current reports filed with the U.S. Securities and Exchange Commission. Furthermore, Aeries operates in a highly competitive and rapidly changing environment where new and unanticipated risks may arise. Accordingly, investors should not place any reliance on forward-looking statements as a prediction of actual results. Aeries disclaims any intention to, and undertakes no obligation to, update or revise forward-looking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IR@aeriestechnology.com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United States dollars,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$3498 and $3,574, as of December 31, 2025 and March 31, 2025,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10,331</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 other current assets, net of allowance of $0 and $0, as of December 31, 2025 and March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shd w:val="clear" w:color="auto" w:fill="CCEEFF"/>
          </w:tcPr>
          <w:p>
            <w:pPr>
              <w:spacing w:after="0"/>
              <w:rPr>
                <w:sz w:val="20"/>
                <w:szCs w:val="20"/>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9,969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investments, net of allowance of $73 and $76, as of December 31, 2025 and March 31, 2025,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20"/>
                <w:szCs w:val="20"/>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 /</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6,441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 put option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9,385</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tcPr>
          <w:p>
            <w:pPr>
              <w:spacing w:after="0"/>
              <w:rPr>
                <w:sz w:val="19"/>
                <w:szCs w:val="19"/>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tcPr>
          <w:p>
            <w:pPr>
              <w:spacing w:after="0"/>
              <w:rPr>
                <w:sz w:val="19"/>
                <w:szCs w:val="19"/>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50,209,716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47,152,626 shares issued and outstanding as of March 31, 2025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ordinary shares, $0.0001 par value; 1 share authorized,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shareholders’ investment and 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Common Stock held in treasury at cost; 1,285,392 shares as on December 31, 2025 and 1,285,392 shares as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March 31, 2025</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(28,547)</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(31,380)</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Aeries Technology, Inc. shareholders’ deficit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 (deficit)</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122"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United States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0"/>
        </w:trPr>
        <w:tc>
          <w:tcPr>
            <w:tcW w:w="584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51,147</w:t>
            </w:r>
          </w:p>
        </w:tc>
        <w:tc>
          <w:tcPr>
            <w:tcW w:w="160" w:type="dxa"/>
            <w:vAlign w:val="bottom"/>
            <w:shd w:val="clear" w:color="auto" w:fill="CCEEFF"/>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14,118</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13,565</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38,007</w:t>
            </w:r>
          </w:p>
        </w:tc>
        <w:tc>
          <w:tcPr>
            <w:tcW w:w="18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39,520</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9,199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37,299</w:t>
            </w: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37,299</w:t>
            </w:r>
          </w:p>
        </w:tc>
        <w:tc>
          <w:tcPr>
            <w:tcW w:w="160" w:type="dxa"/>
            <w:vAlign w:val="bottom"/>
            <w:tcBorders>
              <w:bottom w:val="single" w:sz="8" w:color="CCEEFF"/>
            </w:tcBorders>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(25,672)</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forward purchase agreement put option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5,772</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forward purchase agreement put option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1,490</w:t>
            </w:r>
          </w:p>
        </w:tc>
        <w:tc>
          <w:tcPr>
            <w:tcW w:w="18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 (expense),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 (loss) before income taxes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(18,632)</w:t>
            </w:r>
          </w:p>
        </w:tc>
        <w:tc>
          <w:tcPr>
            <w:tcW w:w="160" w:type="dxa"/>
            <w:vAlign w:val="bottom"/>
          </w:tcPr>
          <w:p>
            <w:pPr>
              <w:spacing w:after="0"/>
              <w:rPr>
                <w:sz w:val="18"/>
                <w:szCs w:val="18"/>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3,057</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2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2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w:t>
            </w:r>
          </w:p>
        </w:tc>
        <w:tc>
          <w:tcPr>
            <w:tcW w:w="2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(15,575</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Net income / (loss) attributable to noncontrolling interest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160" w:type="dxa"/>
            <w:vAlign w:val="bottom"/>
            <w:shd w:val="clear" w:color="auto" w:fill="CCEEFF"/>
          </w:tcPr>
          <w:p>
            <w:pPr>
              <w:spacing w:after="0"/>
              <w:rPr>
                <w:sz w:val="17"/>
                <w:szCs w:val="17"/>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 (loss) attributable to redeemable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(638)</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(loss) attributable to shareholders’ of Aeries Technology,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8"/>
        </w:trPr>
        <w:tc>
          <w:tcPr>
            <w:tcW w:w="5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ordinary shares, basic and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48,758,286</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44,516,659</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47,742,195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42,257,552</w:t>
            </w:r>
          </w:p>
        </w:tc>
      </w:tr>
      <w:tr>
        <w:trPr>
          <w:trHeight w:val="210"/>
        </w:trPr>
        <w:tc>
          <w:tcPr>
            <w:tcW w:w="5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 (loss) per Class A ordinary share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0.08</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(0.32)</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United States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income / (loss) to net cash (used in) / provided by operating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(benefit) /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income from long-term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expected credit loss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6,775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 loss on sale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Sundry balances written back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forward purchase agreement put option liability</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forward purchase agreement put option liability</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shares against accounts payables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exchange (gain) / loss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Sundry balances written off</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 current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4,219</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loans to affiliates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for loans to affiliates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Deposits placed with banks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fixed deposits placed with banks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made towards investment in wholly owned subsidiary</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repayment of short-term borrowings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insurance financing liability</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lease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 net stockholders’ investment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Class A ordinary shares, net of issuance cost</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4,678</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8"/>
                <w:szCs w:val="18"/>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2,764</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2,084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deferred transaction costs included in accounts payable and other current liabilities</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acquired under finance lease obligations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purchase included in accounts payable</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63"/>
        </w:trPr>
        <w:tc>
          <w:tcPr>
            <w:tcW w:w="8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792"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accounts payable through issuance of Class A ordinary shares to vendors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vendor in lieu future services</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Assumption of net liabilities from Business Combination</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United States dollars,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6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0" w:type="dxa"/>
            <w:vAlign w:val="bottom"/>
          </w:tcPr>
          <w:p>
            <w:pPr>
              <w:spacing w:after="0"/>
              <w:rPr>
                <w:sz w:val="18"/>
                <w:szCs w:val="18"/>
                <w:color w:val="auto"/>
              </w:rPr>
            </w:pPr>
          </w:p>
        </w:tc>
        <w:tc>
          <w:tcPr>
            <w:tcW w:w="12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9"/>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4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CCEEFF"/>
            </w:tcBorders>
          </w:tcPr>
          <w:p>
            <w:pPr>
              <w:spacing w:after="0"/>
              <w:rPr>
                <w:sz w:val="20"/>
                <w:szCs w:val="20"/>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3,557</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(15,575</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(17,281</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Stock-based compensation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12,746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 Business combination and M&amp;A related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1,858</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6,910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Severance Pay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derivative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(5,091)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(6,403)</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Gain on settlement of forward purchase agreement put option liability</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(581)</w:t>
            </w: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51,147</w:t>
            </w:r>
          </w:p>
        </w:tc>
        <w:tc>
          <w:tcPr>
            <w:tcW w:w="2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[Adjusted EBITDA / 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560"/>
        </w:trPr>
        <w:tc>
          <w:tcPr>
            <w:tcW w:w="5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2026-02-09T05:13:49Z</dcterms:created>
  <dcterms:modified xsi:type="dcterms:W3CDTF">2026-02-09T05:13:49Z</dcterms:modified>
</cp:coreProperties>
</file>