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$0.0008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$92.00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5.03 of this Current Report on Form 8-K is incorporated by reference into this Item 3.03.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1-for-8 share consolidation of all of its Class A ordinary shares (the “Share Consolidation”) described in Item 5.03 below, on June 12, 2026, Aeries Technology, Inc. (the “Company”) issued a notice (the “Warrant Adjustment Notice”) to holders of its warrants to purchase Class A ordinary shares (the “Warrants”). In the Warrant Adjustment Notice, the Company notified Warrant holders that the Company has made the following adjustments to its outstanding Warrants, effective after the close of trading on June 11, 2026, as reflected in the Warrants upon the commencement of trading on June 12, 2026:</w:t>
      </w:r>
    </w:p>
    <w:p>
      <w:pPr>
        <w:spacing w:after="0" w:line="183"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issuable upon the exercise of each Warrant was proportionally adjusted to reflect the Share Consolidation, such that each Warrant now represents the right to purchase 1/8th of a Class A ordinary share, subject to the aggregation provisions of the Warrant Agreement;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each post-Share Consolidation Warrant to purchase one whole post-Share Consolidation Class A ordinary share will be proportionately increased eight-fold (relative to a pre-Share Consolidation Warrant to purchase one pre-Share Consolidation Class A ordinary share), to $92.00 per post-Share Consolidation Class A ordinary share.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 Adjustment Notice was provided by the Company pursuant to the terms of the Warrant Agreement, dated October 19, 2021 (the “Warrant Agreement”), by and between the Company, and Continental Stock Transfer &amp; Trust Company, as warrant agent (the “Warrant Agent”). The Company will not issue fractional shares upon exercise of Warrants to purchase fractional shares following the Share Consolidation, as any such fractional shares issuable under a Warrant will be rounded down to the nearest whole number of Class A ordinary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CUSIP number for the Warrants will remain G97775 111 and the trading symbol for the Warrants will continue to be “AERTW” following the foregoing adjustments to the Warrants. The foregoing description of the Warrant Adjustment Notice is qualified in its entirety by reference to the full text of the Warrant Adjustment Notice, which is filed as Exhibit 4.1 to this Current Report on Form 8-K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11, 2026, the Company filed its Third Amended and Restated Memorandum and Articles of Association (“A&amp;R Articles”) with the Registrar of Companies in the Cayman Islands to effect the Share Consolidation. The Share Consolidation became effective at 12:01 a.m., Eastern Time, on June 12, 2026 (the “Effective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Share Consolidation, every eight (8) Class A ordinary shares of the Company issued and outstanding immediately prior to the Effective Time were automatically combined and converted into one (1) Class A ordinary share. The Share Consolidation reduced the number of issued and outstanding Class A ordinary shares from approximately 45,914,789 to approximately 5,739,349. The total authorized number of Class A ordinary shares were correspondingly reduced from 500,000,000 with a par value of $0.0001 per share to 62,500,000 with a par value of $0.0008 per share. No fractional shares were issued in connection with the Share Consolidation, and any fractional shares resulting from the Share Consolidation were rounded up to the nearest whole share.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ticker symbol for the Class A ordinary shares will remain “AERT,” and the new CUSIP number of the Class A ordinary shares following the Share Consolidation is G0136H128.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Articles is qualified in its entirety by reference to the full text of the A&amp;R Articles, which is filed as Exhibit 3.1 to this Current Report on Form 8-K and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5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Third Amended and Restated Memorandum and Articles of Association of Aeries Technology, Inc., effective June 12, 2026</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89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Warrant Adjustment Notice, dated June 12, 2026.</w:t>
            </w:r>
          </w:p>
        </w:tc>
        <w:tc>
          <w:tcPr>
            <w:tcW w:w="120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657"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3 MARCH 2026 AND EFFECTIVE ON 12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1616075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ind w:left="4132"/>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ind w:left="4112"/>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3 MARCH 2026 AND EFFECTIVE ON 12 JUNE 2026)</w:t>
      </w:r>
    </w:p>
    <w:p>
      <w:pPr>
        <w:spacing w:after="0" w:line="203"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Aeries Technology, Inc</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652" w:hanging="652"/>
        <w:spacing w:after="0" w:line="28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62" w:lineRule="exact"/>
        <w:rPr>
          <w:sz w:val="20"/>
          <w:szCs w:val="20"/>
          <w:color w:val="auto"/>
        </w:rPr>
      </w:pPr>
    </w:p>
    <w:p>
      <w:pPr>
        <w:ind w:left="652" w:hanging="652"/>
        <w:spacing w:after="0" w:line="28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189" w:lineRule="exact"/>
        <w:rPr>
          <w:sz w:val="20"/>
          <w:szCs w:val="20"/>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if any, unpaid on such Member’s shares.</w:t>
      </w:r>
    </w:p>
    <w:p>
      <w:pPr>
        <w:spacing w:after="0" w:line="252" w:lineRule="exact"/>
        <w:rPr>
          <w:sz w:val="20"/>
          <w:szCs w:val="20"/>
          <w:color w:val="auto"/>
        </w:rPr>
      </w:pPr>
    </w:p>
    <w:p>
      <w:pPr>
        <w:ind w:left="652" w:hanging="652"/>
        <w:spacing w:after="0" w:line="282"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US$50,500.0001 divided into 62,500,000 Class A ordinary shares of a par value of US$0.0008 each, 1 Class V ordinary share of a par value of US$0.0001 and 5,000,000 preference shares of a par value of US$0.0001 each.</w:t>
      </w:r>
    </w:p>
    <w:p>
      <w:pPr>
        <w:spacing w:after="0" w:line="189" w:lineRule="exact"/>
        <w:rPr>
          <w:sz w:val="20"/>
          <w:szCs w:val="20"/>
          <w:color w:val="auto"/>
        </w:rPr>
      </w:pPr>
    </w:p>
    <w:p>
      <w:pPr>
        <w:ind w:left="652" w:hanging="652"/>
        <w:spacing w:after="0" w:line="28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89" w:lineRule="exact"/>
        <w:rPr>
          <w:sz w:val="20"/>
          <w:szCs w:val="20"/>
          <w:color w:val="auto"/>
        </w:rPr>
      </w:pPr>
    </w:p>
    <w:p>
      <w:pPr>
        <w:ind w:left="652" w:hanging="652"/>
        <w:spacing w:after="0" w:line="282"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Third Amended and Restated Memorandum of Association bear the respective meanings given to them in the Third Amended and Restated Articles of Association of the Company.</w:t>
      </w:r>
    </w:p>
    <w:p>
      <w:pPr>
        <w:spacing w:after="0" w:line="2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3 MARCH 2026 AND EFFECTIVE ON 12 JUNE 2026)</w:t>
      </w:r>
    </w:p>
    <w:p>
      <w:pPr>
        <w:spacing w:after="0" w:line="20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56"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“AARK”</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Aark Singapore Pte. Ltd., a Singapore private company limited by shares, with company</w:t>
            </w:r>
          </w:p>
        </w:tc>
      </w:tr>
      <w:tr>
        <w:trPr>
          <w:trHeight w:val="234"/>
        </w:trPr>
        <w:tc>
          <w:tcPr>
            <w:tcW w:w="330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registration number 200602001D.</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“AARK Ordinary Shares”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the ordinary shares of AARK, par value SGD1.00 per share.</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“Aeries”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Aeries Technology Group Business Accelerators Private Limited, an Indian private company</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limited by shares, with company registration number U74999MH2014PTC257474, and a subsidiary</w:t>
            </w:r>
          </w:p>
        </w:tc>
      </w:tr>
      <w:tr>
        <w:trPr>
          <w:trHeight w:val="234"/>
        </w:trPr>
        <w:tc>
          <w:tcPr>
            <w:tcW w:w="330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“Aeries Shares”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the ordinary shares, in the capital of Aeries, par value of INR 10 per share.</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intermediaries, controls, is controlled by, or is under common control with, such person, and (a) in the</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case of a natural person, shall include, without limitation, such person’s spouse, parents, children,</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siblings, mother-in-law and father-in-law and brothers and sisters-in-law, whether by blood, marriage</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or adoption or anyone residing in such person’s home, a trust for the benefit of any of the foregoing, a</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company, partnership or any natural person or entity wholly or jointly owned by any of the foregoing</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(b) in the case of an entity, shall include a partnership, a corporation or any natural person or</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entity which directly, or indirectly through one or more intermediaries, controls, is controlled by, or is</w:t>
            </w:r>
          </w:p>
        </w:tc>
      </w:tr>
      <w:tr>
        <w:trPr>
          <w:trHeight w:val="234"/>
        </w:trPr>
        <w:tc>
          <w:tcPr>
            <w:tcW w:w="330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under common control with, such entity.</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w:t>
            </w:r>
          </w:p>
        </w:tc>
      </w:tr>
      <w:tr>
        <w:trPr>
          <w:trHeight w:val="216"/>
        </w:trPr>
        <w:tc>
          <w:tcPr>
            <w:tcW w:w="330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permits,  certificates,  judgments,  decisions,  decrees  or  orders  of  any  governmental  authority</w:t>
            </w:r>
          </w:p>
        </w:tc>
      </w:tr>
      <w:tr>
        <w:trPr>
          <w:trHeight w:val="234"/>
        </w:trPr>
        <w:tc>
          <w:tcPr>
            <w:tcW w:w="330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 to such person.</w:t>
            </w:r>
          </w:p>
        </w:tc>
      </w:tr>
      <w:tr>
        <w:trPr>
          <w:trHeight w:val="459"/>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these second amended and restated articles of association of the Company.</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means the audit committee of the board of Directors established pursuant to the Articles, or any</w:t>
            </w:r>
          </w:p>
        </w:tc>
      </w:tr>
      <w:tr>
        <w:trPr>
          <w:trHeight w:val="234"/>
        </w:trPr>
        <w:tc>
          <w:tcPr>
            <w:tcW w:w="330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successor committee.</w:t>
            </w:r>
          </w:p>
        </w:tc>
      </w:tr>
      <w:tr>
        <w:trPr>
          <w:trHeight w:val="58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792"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occurrence of any of the following events: (a) any person or any group of persons acting</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together which would constitute a “group” for purposes of Section 13(d) of the U.S. Securities</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Act of 1934 or any successor provisions thereto is or becomes the beneficial owner,</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directly or indirectly, of securities of the Company representing more than 50% of the combined</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voting power of the Company’s then outstanding voting securities; (b) there is consummated a merger</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 consolidation of the Company with any other corporation or other entity, and, immediately after</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the consummation of such merger or consolidation, the voting securities of the Company immediately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prior to such merger or consolidation do not continue to represent or are not converted into more than</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 of the combined voting power of the then outstanding voting securities of the person resulting</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from such merger or consolidation; or (c) the Members approve a plan of complete liquidation or</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dissolution of the Company or there is consummated an agreement or series of related agreements for</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sale, lease or other disposition, directly or indirectly, by the Company of substantially all of the</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assets of the Company and its subsidiaries (including Aark), taken as a whole.</w:t>
            </w:r>
          </w:p>
        </w:tc>
      </w:tr>
      <w:tr>
        <w:trPr>
          <w:trHeight w:val="459"/>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 Class A ordinary share of a par value of US$0.0008 in the share capital of the Company.</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V Share”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Class V ordinary share of a par value of US$0.0001 in the share capital of the Company.</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w:t>
            </w:r>
          </w:p>
        </w:tc>
      </w:tr>
      <w:tr>
        <w:trPr>
          <w:trHeight w:val="216"/>
        </w:trPr>
        <w:tc>
          <w:tcPr>
            <w:tcW w:w="3420" w:type="dxa"/>
            <w:vAlign w:val="bottom"/>
          </w:tcPr>
          <w:p>
            <w:pPr>
              <w:spacing w:after="0"/>
              <w:rPr>
                <w:sz w:val="18"/>
                <w:szCs w:val="18"/>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receipts therefor) are listed or quoted on a stock exchange or interdealer quotation system in such</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jurisdiction.</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established pursuant to the Articles, or</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414"/>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w:t>
            </w:r>
          </w:p>
        </w:tc>
      </w:tr>
      <w:tr>
        <w:trPr>
          <w:trHeight w:val="234"/>
        </w:trPr>
        <w:tc>
          <w:tcPr>
            <w:tcW w:w="34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listed for trading, including the Nasdaq Capital Market.</w:t>
            </w:r>
          </w:p>
        </w:tc>
      </w:tr>
      <w:tr>
        <w:trPr>
          <w:trHeight w:val="432"/>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59"/>
        </w:trPr>
        <w:tc>
          <w:tcPr>
            <w:tcW w:w="3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803"/>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81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November 6, 2023.</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Website, transmission to any number, address or internet website (including the website of the</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 or other electronic delivery methods as otherwise decided and</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approved by the Directors.</w:t>
            </w:r>
          </w:p>
        </w:tc>
      </w:tr>
      <w:tr>
        <w:trPr>
          <w:trHeight w:val="43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43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the transfer of Aeries Shares held by parties other than AARK and/or AARK Ordinary Shares</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held by parties other than the Company, for Class A Shares or cash pursuant to exchange agreements</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between the Company and such parties.</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statute and the rules and regulations of the Securities and Exchange Commission thereunder, all as</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same shall be in effect at the time.</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“Hostile Change of Control”</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a Change of Control which has not been approved by a Special Resolution or an Ordinary</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Resolution, as applicable, at or before the earlier of (a) a public announcement by any person of the</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intention to obtain a sufficient number of the Company’s then outstanding voting securities as would</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upon their acquisition constitute a Change of Control or (b) upon a Change of Control and during the</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continuation thereof.</w:t>
            </w:r>
          </w:p>
        </w:tc>
      </w:tr>
      <w:tr>
        <w:trPr>
          <w:trHeight w:val="43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“Indemnified Person”</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assigned to such term in Article 44.1.</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10A-3 under the Exchange Act, as the case may be.</w:t>
            </w:r>
          </w:p>
        </w:tc>
      </w:tr>
      <w:tr>
        <w:trPr>
          <w:trHeight w:val="459"/>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3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the third amended and restated memorandum of association of the Company.</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“Nominating Committee”</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means the nominating committee of the board of Directors established pursuant to the Articles, or any</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successor committee.</w:t>
            </w:r>
          </w:p>
        </w:tc>
      </w:tr>
      <w:tr>
        <w:trPr>
          <w:trHeight w:val="43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person or, where proxies are allowed, by proxy at a general meeting, and includes a unanimous</w:t>
            </w:r>
          </w:p>
        </w:tc>
      </w:tr>
      <w:tr>
        <w:trPr>
          <w:trHeight w:val="216"/>
        </w:trPr>
        <w:tc>
          <w:tcPr>
            <w:tcW w:w="3440" w:type="dxa"/>
            <w:vAlign w:val="bottom"/>
          </w:tcPr>
          <w:p>
            <w:pPr>
              <w:spacing w:after="0"/>
              <w:rPr>
                <w:sz w:val="18"/>
                <w:szCs w:val="18"/>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written resolution. In computing the majority when a poll is demanded regard shall be had to the</w:t>
            </w:r>
          </w:p>
        </w:tc>
      </w:tr>
      <w:tr>
        <w:trPr>
          <w:trHeight w:val="234"/>
        </w:trPr>
        <w:tc>
          <w:tcPr>
            <w:tcW w:w="344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number of votes to which each Member is entitled by the Articles.</w:t>
            </w:r>
          </w:p>
        </w:tc>
      </w:tr>
      <w:tr>
        <w:trPr>
          <w:trHeight w:val="588"/>
        </w:trPr>
        <w:tc>
          <w:tcPr>
            <w:tcW w:w="34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819"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a preference share of a par value of US$0.0001 in the share capital of the Company.</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“Proportionate Reduction”</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has the meaning assigned to such term in Article 5.4.</w:t>
            </w:r>
          </w:p>
        </w:tc>
      </w:tr>
      <w:tr>
        <w:trPr>
          <w:trHeight w:val="41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Statute and</w:t>
            </w:r>
          </w:p>
        </w:tc>
      </w:tr>
      <w:tr>
        <w:trPr>
          <w:trHeight w:val="234"/>
        </w:trPr>
        <w:tc>
          <w:tcPr>
            <w:tcW w:w="3800" w:type="dxa"/>
            <w:vAlign w:val="bottom"/>
          </w:tcPr>
          <w:p>
            <w:pPr>
              <w:spacing w:after="0"/>
              <w:rPr>
                <w:sz w:val="20"/>
                <w:szCs w:val="20"/>
                <w:color w:val="auto"/>
              </w:rPr>
            </w:pP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includes (except where otherwise stated) any branch or duplicate register of Members.</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1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Transaction”</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a transaction between the Company and (i) its officers or directors, (ii) a person related by</w:t>
            </w:r>
          </w:p>
        </w:tc>
      </w:tr>
      <w:tr>
        <w:trPr>
          <w:trHeight w:val="216"/>
        </w:trPr>
        <w:tc>
          <w:tcPr>
            <w:tcW w:w="3800" w:type="dxa"/>
            <w:vAlign w:val="bottom"/>
          </w:tcPr>
          <w:p>
            <w:pPr>
              <w:spacing w:after="0"/>
              <w:rPr>
                <w:sz w:val="18"/>
                <w:szCs w:val="18"/>
                <w:color w:val="auto"/>
              </w:rPr>
            </w:pP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blood or marriage to any such officer or director or (iii) an entity in which any such person, directly</w:t>
            </w:r>
          </w:p>
        </w:tc>
      </w:tr>
      <w:tr>
        <w:trPr>
          <w:trHeight w:val="234"/>
        </w:trPr>
        <w:tc>
          <w:tcPr>
            <w:tcW w:w="3800" w:type="dxa"/>
            <w:vAlign w:val="bottom"/>
          </w:tcPr>
          <w:p>
            <w:pPr>
              <w:spacing w:after="0"/>
              <w:rPr>
                <w:sz w:val="20"/>
                <w:szCs w:val="20"/>
                <w:color w:val="auto"/>
              </w:rPr>
            </w:pP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indirectly has more than a 5% beneficial interest.</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United States dollar.</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41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a Class A Share, the Class V Share or a Preference Share and includes a fraction of a share in</w:t>
            </w:r>
          </w:p>
        </w:tc>
      </w:tr>
      <w:tr>
        <w:trPr>
          <w:trHeight w:val="234"/>
        </w:trPr>
        <w:tc>
          <w:tcPr>
            <w:tcW w:w="380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6300" w:type="dxa"/>
            <w:vAlign w:val="bottom"/>
          </w:tcPr>
          <w:p>
            <w:pPr>
              <w:spacing w:after="0"/>
              <w:rPr>
                <w:sz w:val="20"/>
                <w:szCs w:val="20"/>
                <w:color w:val="auto"/>
              </w:rPr>
            </w:pP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a resolution which:</w:t>
            </w:r>
          </w:p>
        </w:tc>
      </w:tr>
      <w:tr>
        <w:trPr>
          <w:trHeight w:val="414"/>
        </w:trPr>
        <w:tc>
          <w:tcPr>
            <w:tcW w:w="380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has been passed by at least 75% of the votes of such Members as, being entitled to do</w:t>
            </w:r>
          </w:p>
        </w:tc>
      </w:tr>
      <w:tr>
        <w:trPr>
          <w:trHeight w:val="216"/>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 vote in person or, where proxies are allowed, by proxy at a general meeting of</w:t>
            </w:r>
          </w:p>
        </w:tc>
      </w:tr>
      <w:tr>
        <w:trPr>
          <w:trHeight w:val="216"/>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which notice specifying the intention to propose the resolution as a special resolution</w:t>
            </w:r>
          </w:p>
        </w:tc>
      </w:tr>
      <w:tr>
        <w:trPr>
          <w:trHeight w:val="234"/>
        </w:trPr>
        <w:tc>
          <w:tcPr>
            <w:tcW w:w="3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has been duly given; or</w:t>
            </w:r>
          </w:p>
        </w:tc>
      </w:tr>
      <w:tr>
        <w:trPr>
          <w:trHeight w:val="414"/>
        </w:trPr>
        <w:tc>
          <w:tcPr>
            <w:tcW w:w="380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has been approved in writing by all of the Members entitled to vote at a general</w:t>
            </w:r>
          </w:p>
        </w:tc>
      </w:tr>
      <w:tr>
        <w:trPr>
          <w:trHeight w:val="216"/>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of the Company in one or more instruments each signed by one or more of</w:t>
            </w:r>
          </w:p>
        </w:tc>
      </w:tr>
      <w:tr>
        <w:trPr>
          <w:trHeight w:val="216"/>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Members aforesaid, and the effective date of the special resolution so adopted</w:t>
            </w:r>
          </w:p>
        </w:tc>
      </w:tr>
      <w:tr>
        <w:trPr>
          <w:trHeight w:val="216"/>
        </w:trPr>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be the date on which the instrument or the last of such instruments, if more than</w:t>
            </w:r>
          </w:p>
        </w:tc>
      </w:tr>
      <w:tr>
        <w:trPr>
          <w:trHeight w:val="234"/>
        </w:trPr>
        <w:tc>
          <w:tcPr>
            <w:tcW w:w="3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one, is executed.</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“Tax Filing Authorised Person”</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such person as any Director shall designate from time to time, acting severally.</w:t>
            </w:r>
          </w:p>
        </w:tc>
      </w:tr>
      <w:tr>
        <w:trPr>
          <w:trHeight w:val="43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587"/>
        </w:trPr>
        <w:tc>
          <w:tcPr>
            <w:tcW w:w="3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819" w:right="339" w:bottom="1440" w:gutter="0" w:footer="0" w:header="0"/>
        </w:sectPr>
      </w:pPr>
    </w:p>
    <w:bookmarkStart w:id="10" w:name="page11"/>
    <w:bookmarkEnd w:id="1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52"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corporations as well as any other legal or natural person;</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4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25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8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5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4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Shares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Class A Shares shall carry the right to receive notice of and to attend, to speak at and to vote at any general meeting of the Company.</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the event of a winding up or dissolution of the Company, whether voluntary or involuntary or for the purposes of a reorganisation or otherwise or upon any distribution of capital, the Class A Shares shall, subject to any Applicable Law and the rights, if any, of the holders of any outstanding Preference Shares, carry the right to receive all the remaining assets of the Company available for distribution to the Members, ratably in proportion to the number of Class A Shares held by them.</w:t>
      </w:r>
    </w:p>
    <w:p>
      <w:pPr>
        <w:spacing w:after="0" w:line="20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Class A Shares shall, subject to any Applicable Law and the rights, if any, of the holders of any outstanding Preference Shares, carry the right to receive such dividends and other distributions (payable in cash, property or shares of the Company) when, as and if declared thereon by the Directors from time to time out of any assets or funds of the Company legally available therefor, and shall share equally on a per share basis in such dividends and distributions.</w:t>
      </w:r>
    </w:p>
    <w:p>
      <w:pPr>
        <w:spacing w:after="0" w:line="20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V Share</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Class V Share shall carry the right to receive notice of and to attend, to speak at and to vote at any general meeting of the Company.</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the event of a winding up or dissolution of the Company, whether voluntary or involuntary or for the purposes of a reorganisation or otherwise or upon any distribution of capital, the holder of the Class V Share shall be entitled, pari passu with the holders of Class A Shares, to an amount equal to the capital paid up on such Class V Share. The Class V Share shall not carry any other right to participate in the profits or assets of the Company.</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Class V Share shall not carry the right to receive dividends or other distributions, and dividends and other distributions shall not be declared or paid on the Class V Share.</w:t>
      </w:r>
    </w:p>
    <w:p>
      <w:pPr>
        <w:spacing w:after="0" w:line="18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 xml:space="preserve">The Class V Share shall have restrictions on transfer as set forth in Article 9.1. Upon the Exchange of any AARK Ordinary Shares for Class A Shares, the voting power of the Class V Share shall be reduced in proportion to the AARK Ordinary Shares exchanged to that of the AARK Ordinary Shares held by Venu Raman Kumar on the Effective Date (the “Proportionate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Proportionate Reduction will not, in any way, affect the voting rights of the Class V Share as described in Articles 22.1(b) and 22.2 below. For illustrative purposes only and as an example, if there is an Exchange of 25% of the AARK Ordinary Shares, the voting power of the Class V Share will be reduced by 25% and be equal to 26% multiplied by 75%, or 19.5%, for all purposes other than with respect to the matters addressed in Articles 22.1(b) and 22.2 below. Upon the Exchange of all AARK Ordinary Shares, other than the AARK Ordinary Shares held by the Company, the Class V Share shall automatically and without further action on the part of the Company or any holder of such Class V Share be forfeited and cancelled.</w:t>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Once forfeited and cancelled, the Class V Share may not be reissued.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5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9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5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21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20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5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21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20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5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their Shares, other than the Class V Share,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 For the avoidance of doubt, no holder of the Class V Share may transfer the Class V Share to any person and any attempted transfer of the Class V Share shall be void and the Directors shall refuse to register the transfer of the Class V Share.</w:t>
      </w:r>
    </w:p>
    <w:p>
      <w:pPr>
        <w:spacing w:after="0" w:line="21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Redemption, Repurchase and Surrender of Shares</w:t>
      </w:r>
    </w:p>
    <w:p>
      <w:pPr>
        <w:spacing w:after="0" w:line="25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Ordinary Resolution, determine before the issue of such Shares.</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this Article 10 shall not require further approval of the Members.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Treasury Shares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 For the avoidance of doubt, any consolidation or subdivision of Shares pursuant to Article 16 shall apply to Treasury Shares of the relevant class in the same manner as it applies to issued and outstanding Shares of that class, and references to the share capital of the Company in Article 16 shall be construed accordingly.</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Subject to Article 3.1, if at any time the share capital of the Company is divided into different classes of Shares, all or any of the rights attached to any class (unless otherwise provided by the terms of issue of the Shares of that class), whether or not the Company is being wound up, shall not be varied without the unanimous consent of the holders of the issued Shares of that class.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Company shall issue only fully paid shares.</w:t>
      </w:r>
    </w:p>
    <w:p>
      <w:pPr>
        <w:spacing w:after="0" w:line="24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their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56"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Member dies, the survivor or survivors (where they were a joint holder), or their legal personal representatives (where they were a sole holder), shall be the only persons recognised by the Company as having any title to their Shares. The estate of a deceased Member is not thereby released from any liability in respect of any Share, for which they were a joint or sole holder.</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them to the Company, either to become the holder of such Share or to have some person nominated by them registered as the holder of such Share. If they elect to have another person registered as the holder of such Share they shall sign an instrument of transfer of that Share to that person. The Directors shall, in either case, have the same right to decline or suspend registration as they would have had in the case of a transfer of the Share by the relevant Member before their death or bankruptcy or liquidation or dissolution, as the case may be.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they would be entitled if they were the holder of such Share. However, they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themself or to have some person nominated by them be registered as the holder of the Share (but the Directors shall, in either case, have the same right to decline or suspend registration as they would have had in the case of a transfer of the Share by the relevant Member before their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2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252"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(including any Treasury Shares) into Shares of larger amount than its existing Shares;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Change of Control, except for such Change of Control events that are required by law to be approved by Special Resolution.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this Article 16 shall be subject to the same provisions of the Articles with reference to the payment of calls, liens, transfer, transmission, forfeiture and otherwise as the Shares in the original share capital.</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Special Resolution Matters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Subject to Applicable Law, the provisions of the Statute and the provisions of the Articles as regards the matters to be dealt with by Ordinary Resolution, the Company shall not and the Directors shall not allow the Company to undertake any of the following actions without the prior approval by a Special Resolution of the Company:</w:t>
      </w:r>
    </w:p>
    <w:p>
      <w:pPr>
        <w:spacing w:after="0" w:line="203"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name;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Company’s share capital or any capital redemption reserve fund.</w:t>
      </w:r>
    </w:p>
    <w:p>
      <w:pPr>
        <w:spacing w:after="0" w:line="24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General Meetings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5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Directors, the chief executive officer or the chairman of the board of Directors may call general meetings, and, for the avoidance of doubt, Members shall not have the ability to call general meetings.</w:t>
      </w:r>
    </w:p>
    <w:p>
      <w:pPr>
        <w:spacing w:after="0" w:line="18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5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21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18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is present. The holders of a majority of the Shares entitled to vote at a general meeting, being individuals present in person or by proxy or if a corporation or other non-natural person by its duly authorised representative or proxy, shall be a quorum.</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20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they shall not be present within fifteen minutes after the time appointed for the meeting to commence, or are unwilling to act, the Directors present shall elect one of their number to be chairman of the meeting.</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3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If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21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21.10</w:t>
        <w:tab/>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21.11</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5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21.12</w:t>
        <w:tab/>
        <w:t>A poll shall be taken as the chairman directs, and the result of the poll shall be deemed to be the resolution of the general meeting at which the poll was demanded.</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color w:val="auto"/>
        </w:rPr>
        <w:t>In the case of an equality of votes the chairman shall be entitled to a second or casting vote except for matters covered under sub clause 21.15.</w:t>
      </w:r>
    </w:p>
    <w:p>
      <w:pPr>
        <w:spacing w:after="0" w:line="25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21.15</w:t>
        <w:tab/>
        <w:t>Venu Raman Kumar, if presiding over a meeting of the board of Directors of the Company, will abstain from voting on the appointment of either of the two directors of AARK, who will be selected only from the pool of Independent Directors of the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56"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every Member present in any such manner shall have one vote for every Share of which they are the holder, provided that:</w:t>
      </w:r>
    </w:p>
    <w:p>
      <w:pPr>
        <w:spacing w:after="0" w:line="189" w:lineRule="exact"/>
        <w:rPr>
          <w:sz w:val="20"/>
          <w:szCs w:val="20"/>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22.1(b), the Class V Share shall have such number of votes representing, at all times while such Class V Share remains outstanding, 26.0% of all votes attached to the total issued and outstanding Class A Shares and the Class V Share, voting together as a class; and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of the occurrence of certain extraordinary events, as set forth in Article 22.2, the Class V Share shall have such number of votes representing 51.0% of all votes attached to the total issued and outstanding Class A Shares and the Class V Share, voting together as a class.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For the purposes of Article 22.1(b) any and all of the following shall constitute an extraordinary event:</w:t>
      </w:r>
    </w:p>
    <w:p>
      <w:pPr>
        <w:spacing w:after="0" w:line="252" w:lineRule="exact"/>
        <w:rPr>
          <w:sz w:val="20"/>
          <w:szCs w:val="20"/>
          <w:color w:val="auto"/>
        </w:rPr>
      </w:pPr>
    </w:p>
    <w:p>
      <w:pPr>
        <w:jc w:val="both"/>
        <w:ind w:left="1300" w:hanging="644"/>
        <w:spacing w:after="0" w:line="25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where there continues to exist a threatened or actual Hostile Change of Control. A Hostile Change of Control shall be deemed to be “threatened”, without limitation, when a person or group acquires, directly or indirectly, in a single transaction or series of related transactions, more than 5% of the votes attached to all Shares, other than the Class V Share, announces publicly an interest in taking over, partly or wholly, the management control of the Company or seeks a seat on the Board of Directors of the Company when such candidacy is not endorsed by existing members of the Board of Directors; and/or</w:t>
      </w:r>
    </w:p>
    <w:p>
      <w:pPr>
        <w:spacing w:after="0" w:line="21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a Director.</w:t>
      </w:r>
    </w:p>
    <w:p>
      <w:pPr>
        <w:spacing w:after="0" w:line="25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their committee, receiver, curator bonis, or other person on such Member’s behalf appointed by that court, and any such committee, receiver, curator bonis or other person may vote by proxy.</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they are registered as a Member on the record date for such meeting nor unless all calls or other monies then payable by them in respect of Shares have been paid.</w:t>
      </w:r>
    </w:p>
    <w:p>
      <w:pPr>
        <w:spacing w:after="0" w:line="18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 except for the matters covered under sub clause 21.15.</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them, a proxy appointed under one or more instruments may vote a Share or some or all of the Shares in respect of which they are appointed either for or against a resolution and/or abstain from voting a Share or some or all of the Shares in respect of which they are appointed.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their attorney duly authorised in writing, or, if the appointor is a corporation or other non natural person, under the hand of its duly authorised representative. A proxy need not be a Member.</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214"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The chairman may in any event at their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5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they represent as the corporation could exercise if it were an individual Member.</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20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25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There shall be a board of Directors consisting of five persons provided, however that (A) the Directors or the Company may by Ordinary Resolution increase or reduce the limits in the number of Directors and (B) a majority of the Directors shall be Independent Directors.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5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their widow or dependants and may make contributions to any fund and pay premiums for the purchase or provision of any such gratuity, pension or allowance.</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5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Subject to and as otherwise set out in the Articles, including Article 22.2 and 28.2, the Company may by Ordinary Resolution appoint any person to be a Director or remove any director.</w:t>
      </w:r>
    </w:p>
    <w:p>
      <w:pPr>
        <w:spacing w:after="0" w:line="18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The Board of Directors shall initially be divided into three classes, with each class serving a staggered term of three years. The term of the first class of Directors shall expire at the first annual meeting of the Members following the Effective Date, the term of the second class of Directors shall expire at the second annual meeting of Members following the Effective Date, and the term of the third class of Directors shall expire at the third annual meeting of Members following the Effective Date, and the class into which a Director is to be appointed shall be set out in the resolutions appointing such Director.</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Upon the expiration of the initial term of each class, all Directors thereafter shall be elected to serve one-year terms, expiring at the next annual meeting of Members.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they resign the office of Director; 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themself (for the avoidance of doubt, without being represented by proxy) from three consecutive meetings of the board of Directors without special leave of absence from the Directors, and the Directors pass a resolution that they have by reason of such absence vacated office; or</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their creditors generally; 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25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except for matters covered under sub clause 21.15.</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20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20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they are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2" w:name="page23"/>
    <w:bookmarkEnd w:id="22"/>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their dissent shall be entered in the minutes of the meeting or unless they shall file their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25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their office of Director for such period and on such terms as to remuneration and otherwise as the Directors may determine.</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A Director may act by themself or by, through or on behalf of their firm in a professional capacity for the Company and they or their firm shall be entitled to remuneration for professional services as if they were not a Director.</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them as a director or officer of, or from their interest in, such other company.</w:t>
      </w:r>
    </w:p>
    <w:p>
      <w:pPr>
        <w:spacing w:after="0" w:line="2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they are interested provided that the nature of the interest of any Director in any such contract or transaction shall be disclosed by them at or prior to its consideration and any vote thereon.</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they have an interest, and after such general notice it shall not be necessary to give special notice relating to any particular transaction.</w:t>
      </w:r>
    </w:p>
    <w:p>
      <w:pPr>
        <w:spacing w:after="0" w:line="203"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25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3" w:name="page24"/>
    <w:bookmarkEnd w:id="23"/>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21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its charter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221"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8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21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their appointment an Officer may be removed by resolution of the Directors or Members. An Officer may vacate their office at any time if they give notice in writing to the Company that they resign their office.</w:t>
      </w:r>
    </w:p>
    <w:p>
      <w:pPr>
        <w:spacing w:after="0" w:line="20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56"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5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their ordinary routine work as a Director. Any fees paid to a Director who is also counsel, attorney or solicitor to the Company, or otherwise serves it in a professional capacity shall be in addition to their remuneration as a Director.</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their signature alone to any document of the Company required to be authenticated by them under seal or to be filed with the Registrar of Companies in the Cayman Islands or elsewhere wheresoever.</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5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Subject to the Statute and the Articles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21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them to the Company on account of calls or otherwise.</w:t>
      </w:r>
    </w:p>
    <w:p>
      <w:pPr>
        <w:spacing w:after="0" w:line="18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38.4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21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5" w:name="page26"/>
    <w:bookmarkEnd w:id="2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38.7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4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25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21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5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21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5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their becoming incapable of acting by reason of illness or other disability at a time when their services are required, the Directors shall fill the vacancy and determine the remuneration of such Auditor.</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20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5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or e-mail to them or to their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52" w:lineRule="exact"/>
        <w:rPr>
          <w:sz w:val="20"/>
          <w:szCs w:val="20"/>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7" w:name="page28"/>
    <w:bookmarkEnd w:id="27"/>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or the United States) following the day on which the notice was posted;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8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1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their being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5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Articles and the rights attaching to any Shares, in a winding up:</w:t>
      </w:r>
    </w:p>
    <w:p>
      <w:pPr>
        <w:spacing w:after="0" w:line="189" w:lineRule="exact"/>
        <w:rPr>
          <w:sz w:val="20"/>
          <w:szCs w:val="20"/>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20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Articles and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8" w:name="page29"/>
    <w:bookmarkEnd w:id="2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5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21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21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9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March in each year and, following the year of incorporation, shall begin on 1st April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22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12, 2026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Warrant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Warrant 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Warrant Agreement (the “Warrant Agreement”), dated as of October 19, 2021, by and between Worldwide Webb Acquisition Corp. (now known as Aeries Technology, Inc.), a Cayman Islands exempted company (the “Company”), and Continental Stock Transfer &amp; Trust Company, as warrant agent (the “Warrant Agent”). All capitalized terms not separately defined in this Notice shall have the same meanings as defined in the Warrant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writing to inform you, as a holder of one or more Warrants (as such term is defined in the Warrant Agreement), that the Company has effected a share consolidation of the issued and outstanding Class A ordinary shares of the Company, par value $0.0001 per share (the “Share Consolidation”). The Board of Directors of the Company approved the Share Consolidation at a ratio of one (1) post-Share Consolidation share for every eight (8) pre-Share Consolidation shares pursuant to the authorization granted by shareholders of the Company at the Company’s 2026 Annual General Meeting held on March 3, 2026, and the Share Consolidation became effective at 12:01 a.m., Eastern Time, on June 12, 2026 (the “Effective Time”). The Company’s Class A ordinary shares began trading on the Nasdaq Capital Market on a post-Share Consolidation basis under the Company’s existing trading symbol “AERT” at the commencement of trading on June 12,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 Consolidation has also resulted in a proportional decrease in the number of authorized Class A ordinary shares and a proportional increase in the par value of the Class A ordinary shares in accordance with the Share Consolidation ratio. Following the effectiveness of the Share Consolidation, the Company is authorized to issue 62,500,000 Class A ordinary shares, par value $0.0008 per Class A ordinary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Effective Time, each whole Warrant was exercisable for one (1) Class A ordinary share of the Company at a Warrant Price of $11.50 per share. Pursuant to Sections 4.2 and 4.3 of the Warrant Agreement, as of the Effective Time, each then-outstanding whole Warrant will be adjusted such that (subject to any future adjustment pursuant to the Warrant Agreement’s terms):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issuable upon exercise of each Warrant was proportionally adjusted to reflect the Share Consolidation, such that each Warrant now represents the right to purchase one-eighth (1/8) of a Class A ordinary share, subject to the aggregation provisions of the Warrant Agreement;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Price (for the exercise of each post-Share Consolidation Warrant for one whole underlying Class A ordinary share) shall be adjusted by multiplying such Warrant Price immediately prior to such adjustment by a fraction (x) the numerator of which shall be one (1) (i.e., the number of Class A ordinary shares purchasable upon the exercise of one whole Warrant immediately prior to such adjustment), and (y) the denominator of which shall be one-eighth (1/8) (i.e., the number of Class A ordinary shares so purchasable immediately thereafter), resulting in an adjusted Warrant Price of $92.00 per post-Share Consolidation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foregoing adjustments to the number of Class A ordinary shares issuable upon exercise of each Warrant and the Warrant Price, the share price thresholds used to determine the Company’s right to redeem the Warrants have also been proportionately adjusted as of the Effective Time in accordance with the Share Consolidation ratio. Specifically:</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price threshold of $18.00 per share referenced in Section 6.1 of the Warrant Agreement (relating to the Company’s right to redeem outstanding Warrants for cash at a price of $0.01 per Warrant) has been adjusted to $144.00 per post-Share Consolidation Class A ordinary share;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price threshold of $10.00 per share referenced in Section 6.2 of the Warrant Agreement (relating to the Company’s right to redeem outstanding Warrants for Class A ordinary shares at a price of $0.10 per Warrant) has been adjusted to $80.00 per post-Share Consolidation Class A ordinary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avoidance of doubt, the “Reference Value” for purposes of Sections 6.1 and 6.2 of the Warrant Agreement will be measured on a post-Share Consolidation basis following the Effective Time. Pursuant to Section 6.3 of the Warrant Agreement, the share price column headings and the corresponding share numbers in the Make-Whole Fair Market Value table have also each been proportionately adjusted as of the Effective Time to reflect the 1-for-8 Share Consolidation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Section 4.7 of the Warrant Agreement, the Company will not issue fractional shares upon exercise of Warrants following the Share Consolidation. If, by reason of the adjustments to the Warrants made in relation to the Share Consolidation, the holder of any Warrant would be entitled, upon the exercise of such Warrant, to receive a fractional interest in a Class A ordinary share, the Company shall, upon such exercise, round down to the nearest whole number the number of Class A ordinary shares to be issued to the Warrant holder.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CUSIP number for the Warrants will remain G97775 111 and the trading symbol for the Warrants will continue to be “AERTW” following the foregoing adjustments to the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should have any questions, please do not hesitate to contact the below contact via email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Aeries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legal@aeriestechnology.com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04"/>
    </w:lvl>
  </w:abstractNum>
  <w:abstractNum w:abstractNumId="3">
    <w:nsid w:val="721DA317"/>
    <w:multiLevelType w:val="hybridMultilevel"/>
    <w:lvl w:ilvl="0">
      <w:lvlJc w:val="left"/>
      <w:lvlText w:val="1"/>
      <w:numFmt w:val="bullet"/>
      <w:start w:val="1"/>
    </w:lvl>
  </w:abstractNum>
  <w:abstractNum w:abstractNumId="4">
    <w:nsid w:val="2443A858"/>
    <w:multiLevelType w:val="hybridMultilevel"/>
    <w:lvl w:ilvl="0">
      <w:lvlJc w:val="left"/>
      <w:lvlText w:val="2"/>
      <w:numFmt w:val="bullet"/>
      <w:start w:val="1"/>
    </w:lvl>
  </w:abstractNum>
  <w:abstractNum w:abstractNumId="5">
    <w:nsid w:val="2D1D5AE9"/>
    <w:multiLevelType w:val="hybridMultilevel"/>
    <w:lvl w:ilvl="0">
      <w:lvlJc w:val="left"/>
      <w:lvlText w:val="3"/>
      <w:numFmt w:val="bullet"/>
      <w:start w:val="1"/>
    </w:lvl>
  </w:abstractNum>
  <w:abstractNum w:abstractNumId="6">
    <w:nsid w:val="6763845E"/>
    <w:multiLevelType w:val="hybridMultilevel"/>
    <w:lvl w:ilvl="0">
      <w:lvlJc w:val="left"/>
      <w:lvlText w:val="4"/>
      <w:numFmt w:val="bullet"/>
      <w:start w:val="1"/>
    </w:lvl>
  </w:abstractNum>
  <w:abstractNum w:abstractNumId="7">
    <w:nsid w:val="75A2A8D4"/>
    <w:multiLevelType w:val="hybridMultilevel"/>
    <w:lvl w:ilvl="0">
      <w:lvlJc w:val="left"/>
      <w:lvlText w:val="5"/>
      <w:numFmt w:val="bullet"/>
      <w:start w:val="1"/>
    </w:lvl>
  </w:abstractNum>
  <w:abstractNum w:abstractNumId="8">
    <w:nsid w:val="8EDBDAB"/>
    <w:multiLevelType w:val="hybridMultilevel"/>
    <w:lvl w:ilvl="0">
      <w:lvlJc w:val="left"/>
      <w:lvlText w:val="6"/>
      <w:numFmt w:val="bullet"/>
      <w:start w:val="1"/>
    </w:lvl>
  </w:abstractNum>
  <w:abstractNum w:abstractNumId="9">
    <w:nsid w:val="79838CB2"/>
    <w:multiLevelType w:val="hybridMultilevel"/>
    <w:lvl w:ilvl="0">
      <w:lvlJc w:val="left"/>
      <w:lvlText w:val="7"/>
      <w:numFmt w:val="bullet"/>
      <w:start w:val="1"/>
    </w:lvl>
  </w:abstractNum>
  <w:abstractNum w:abstractNumId="10">
    <w:nsid w:val="4353D0CD"/>
    <w:multiLevelType w:val="hybridMultilevel"/>
    <w:lvl w:ilvl="0">
      <w:lvlJc w:val="left"/>
      <w:lvlText w:val="1"/>
      <w:numFmt w:val="bullet"/>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2"/>
      <w:numFmt w:val="bullet"/>
      <w:start w:val="1"/>
    </w:lvl>
  </w:abstractNum>
  <w:abstractNum w:abstractNumId="13">
    <w:nsid w:val="54E49EB4"/>
    <w:multiLevelType w:val="hybridMultilevel"/>
    <w:lvl w:ilvl="0">
      <w:lvlJc w:val="left"/>
      <w:lvlText w:val="3"/>
      <w:numFmt w:val="bullet"/>
      <w:start w:val="1"/>
    </w:lvl>
  </w:abstractNum>
  <w:abstractNum w:abstractNumId="14">
    <w:nsid w:val="71F32454"/>
    <w:multiLevelType w:val="hybridMultilevel"/>
    <w:lvl w:ilvl="0">
      <w:lvlJc w:val="left"/>
      <w:lvlText w:val="4"/>
      <w:numFmt w:val="bullet"/>
      <w:start w:val="1"/>
    </w:lvl>
  </w:abstractNum>
  <w:abstractNum w:abstractNumId="15">
    <w:nsid w:val="2CA88611"/>
    <w:multiLevelType w:val="hybridMultilevel"/>
    <w:lvl w:ilvl="0">
      <w:lvlJc w:val="left"/>
      <w:lvlText w:val="5"/>
      <w:numFmt w:val="bullet"/>
      <w:start w:val="1"/>
    </w:lvl>
  </w:abstractNum>
  <w:abstractNum w:abstractNumId="16">
    <w:nsid w:val="836C40E"/>
    <w:multiLevelType w:val="hybridMultilevel"/>
    <w:lvl w:ilvl="0">
      <w:lvlJc w:val="left"/>
      <w:lvlText w:val="6"/>
      <w:numFmt w:val="bullet"/>
      <w:start w:val="1"/>
    </w:lvl>
  </w:abstractNum>
  <w:abstractNum w:abstractNumId="17">
    <w:nsid w:val="2901D82"/>
    <w:multiLevelType w:val="hybridMultilevel"/>
    <w:lvl w:ilvl="0">
      <w:lvlJc w:val="left"/>
      <w:lvlText w:val="7"/>
      <w:numFmt w:val="bullet"/>
      <w:start w:val="1"/>
    </w:lvl>
  </w:abstractNum>
  <w:abstractNum w:abstractNumId="18">
    <w:nsid w:val="3A95F874"/>
    <w:multiLevelType w:val="hybridMultilevel"/>
    <w:lvl w:ilvl="0">
      <w:lvlJc w:val="left"/>
      <w:lvlText w:val="8"/>
      <w:numFmt w:val="bullet"/>
      <w:start w:val="1"/>
    </w:lvl>
  </w:abstractNum>
  <w:abstractNum w:abstractNumId="19">
    <w:nsid w:val="8138641"/>
    <w:multiLevelType w:val="hybridMultilevel"/>
    <w:lvl w:ilvl="0">
      <w:lvlJc w:val="left"/>
      <w:lvlText w:val="9"/>
      <w:numFmt w:val="bullet"/>
      <w:start w:val="1"/>
    </w:lvl>
  </w:abstractNum>
  <w:abstractNum w:abstractNumId="20">
    <w:nsid w:val="1E7FF521"/>
    <w:multiLevelType w:val="hybridMultilevel"/>
    <w:lvl w:ilvl="0">
      <w:lvlJc w:val="left"/>
      <w:lvlText w:val="%1"/>
      <w:numFmt w:val="decimal"/>
      <w:start w:val="13"/>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decimal"/>
      <w:start w:val="18"/>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decimal"/>
      <w:start w:val="25"/>
    </w:lvl>
  </w:abstractNum>
  <w:abstractNum w:abstractNumId="28">
    <w:nsid w:val="419AC241"/>
    <w:multiLevelType w:val="hybridMultilevel"/>
    <w:lvl w:ilvl="0">
      <w:lvlJc w:val="left"/>
      <w:lvlText w:val="%1"/>
      <w:numFmt w:val="decimal"/>
      <w:start w:val="29"/>
    </w:lvl>
    <w:lvl w:ilvl="1">
      <w:lvlJc w:val="left"/>
      <w:lvlText w:val="(%2)"/>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decimal"/>
      <w:start w:val="31"/>
    </w:lvl>
  </w:abstractNum>
  <w:abstractNum w:abstractNumId="31">
    <w:nsid w:val="5072367"/>
    <w:multiLevelType w:val="hybridMultilevel"/>
    <w:lvl w:ilvl="0">
      <w:lvlJc w:val="left"/>
      <w:lvlText w:val="%1"/>
      <w:numFmt w:val="decimal"/>
      <w:start w:val="33"/>
    </w:lvl>
  </w:abstractNum>
  <w:abstractNum w:abstractNumId="32">
    <w:nsid w:val="3804823E"/>
    <w:multiLevelType w:val="hybridMultilevel"/>
    <w:lvl w:ilvl="0">
      <w:lvlJc w:val="left"/>
      <w:lvlText w:val="%1"/>
      <w:numFmt w:val="decimal"/>
      <w:start w:val="35"/>
    </w:lvl>
  </w:abstractNum>
  <w:abstractNum w:abstractNumId="33">
    <w:nsid w:val="77465F01"/>
    <w:multiLevelType w:val="hybridMultilevel"/>
    <w:lvl w:ilvl="0">
      <w:lvlJc w:val="left"/>
      <w:lvlText w:val="%1"/>
      <w:numFmt w:val="decimal"/>
      <w:start w:val="39"/>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45"/>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2026-06-12T08:22:35Z</dcterms:created>
  <dcterms:modified xsi:type="dcterms:W3CDTF">2026-06-12T08:22:35Z</dcterms:modified>
</cp:coreProperties>
</file>