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333-276173</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August 12, 2025)</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AERIES TECHNOLOGY,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10,566,347 Class A Ordinary Shares Issuable Upon Exercise of Exchange Rights</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21,027,801 Class A Ordinary Shares Issuable Upon Exercise of Warrants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53,805,874 Class A Ordinary Shares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9,527,810 Warrants to Purchase Class A Ordinary Shares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Offered by the Selling Securityholders</w:t>
      </w:r>
    </w:p>
    <w:p>
      <w:pPr>
        <w:spacing w:after="0" w:line="207"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prospectus supplement is being filed to update and supplement information contained in the prospectus dated August 12, 2025 (the “Prospectus”) related to: (A) (i) up to 10,566,347 Class A ordinary shares, par value $0.0001 per share (“Class A ordinary shares”), of Aeries Technology, Inc., a Cayman Islands exempted company (the “Company”), upon exchange of shares of Aark Singapore Pte. Ltd. or Aeries Technology Group Business Accelerators Private Limited, pursuant to the exchange agreements dated November 6, 2023, and (ii) up to 21,027,801 Class A ordinary shares issuable upon the exercise of the (a) 11,499,991 redeemable warrants to purchase Class A ordinary shares that were issued by Worldwide Webb Acquisition Corp. as part of the units in its initial public offering (“IPO”), and (b) 9,527,810 redeemable warrants (the “Private Placement Warrants”) to purchase Class A ordinary shares originally issued to Worldwide Webb Acquisition Sponsor, LLC in a private placement that closed simultaneously with the consummation of the IPO; and (B) the resale from time to time by the Selling Securityholders (as defined in the Prospectus) of (i) an aggregate of up to 53,805,874 Class A ordinary shares, and (ii) up to 9,527,810 Private Placement Warrants, with the information contained in our Current Report on Form 8-K, filed with the Securities and Exchange Commission on January 7, 2026 (the “Current Report”). Accordingly, we have attached the Current Report to this prospectus supplement.</w:t>
      </w:r>
    </w:p>
    <w:p>
      <w:pPr>
        <w:spacing w:after="0" w:line="192"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8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Class A ordinary shares and warrants are traded on the Nasdaq Capital Market under the symbols “AERT” and “AERTW,” respectively. On January 6, 2026, the closing price of our Class A ordinary shares was $0.5475 per share and the closing price of our warrants was $0.032 per warrant.</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Investing in our securities involves risks. See “Risk Factors” beginning on page 17 of the Prospectus and in any applicable prospectus supplement.</w:t>
      </w:r>
    </w:p>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Neither the Securities and Exchange Commission nor any other regulatory body have approved or disapproved these securities, or passed upon the accuracy or adequacy of this prospectus supplement. Any representation to the contrary is a criminal offense.</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January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154305</wp:posOffset>
            </wp:positionV>
            <wp:extent cx="25031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Aeries Technology,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141605</wp:posOffset>
            </wp:positionV>
            <wp:extent cx="25031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4"/>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278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001-40920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98-1587626</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780" w:type="dxa"/>
            <w:vAlign w:val="bottom"/>
            <w:tcBorders>
              <w:top w:val="single" w:sz="8" w:color="auto"/>
            </w:tcBorders>
            <w:gridSpan w:val="3"/>
          </w:tcPr>
          <w:p>
            <w:pPr>
              <w:jc w:val="center"/>
              <w:ind w:right="82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660" w:type="dxa"/>
            <w:vAlign w:val="bottom"/>
            <w:gridSpan w:val="4"/>
          </w:tcPr>
          <w:p>
            <w:pPr>
              <w:jc w:val="center"/>
              <w:ind w:right="104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980" w:type="dxa"/>
            <w:vAlign w:val="bottom"/>
            <w:gridSpan w:val="5"/>
          </w:tcPr>
          <w:p>
            <w:pPr>
              <w:jc w:val="center"/>
              <w:ind w:right="1020"/>
              <w:spacing w:after="0"/>
              <w:rPr>
                <w:sz w:val="20"/>
                <w:szCs w:val="20"/>
                <w:color w:val="auto"/>
              </w:rPr>
            </w:pPr>
            <w:r>
              <w:rPr>
                <w:rFonts w:ascii="Times New Roman" w:cs="Times New Roman" w:eastAsia="Times New Roman" w:hAnsi="Times New Roman"/>
                <w:sz w:val="18"/>
                <w:szCs w:val="18"/>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216"/>
        </w:trPr>
        <w:tc>
          <w:tcPr>
            <w:tcW w:w="3660" w:type="dxa"/>
            <w:vAlign w:val="bottom"/>
            <w:gridSpan w:val="2"/>
          </w:tcPr>
          <w:p>
            <w:pPr>
              <w:spacing w:after="0"/>
              <w:rPr>
                <w:sz w:val="18"/>
                <w:szCs w:val="18"/>
                <w:color w:val="auto"/>
              </w:rPr>
            </w:pPr>
          </w:p>
        </w:tc>
        <w:tc>
          <w:tcPr>
            <w:tcW w:w="1000" w:type="dxa"/>
            <w:vAlign w:val="bottom"/>
            <w:tcBorders>
              <w:bottom w:val="single" w:sz="8" w:color="auto"/>
            </w:tcBorders>
            <w:gridSpan w:val="2"/>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417"/>
        </w:trPr>
        <w:tc>
          <w:tcPr>
            <w:tcW w:w="466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60 Paya Lebar Road, #08-13</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66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Paya Lebar Square</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8"/>
        </w:trPr>
        <w:tc>
          <w:tcPr>
            <w:tcW w:w="4660" w:type="dxa"/>
            <w:vAlign w:val="bottom"/>
            <w:tcBorders>
              <w:bottom w:val="single" w:sz="8" w:color="auto"/>
            </w:tcBorders>
            <w:gridSpan w:val="4"/>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Singapore</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390"/>
              <w:spacing w:after="0"/>
              <w:rPr>
                <w:sz w:val="20"/>
                <w:szCs w:val="20"/>
                <w:color w:val="auto"/>
              </w:rPr>
            </w:pPr>
            <w:r>
              <w:rPr>
                <w:rFonts w:ascii="Times New Roman" w:cs="Times New Roman" w:eastAsia="Times New Roman" w:hAnsi="Times New Roman"/>
                <w:sz w:val="18"/>
                <w:szCs w:val="18"/>
                <w:b w:val="1"/>
                <w:bCs w:val="1"/>
                <w:color w:val="auto"/>
              </w:rPr>
              <w:t>409051</w:t>
            </w:r>
          </w:p>
        </w:tc>
      </w:tr>
      <w:tr>
        <w:trPr>
          <w:trHeight w:val="228"/>
        </w:trPr>
        <w:tc>
          <w:tcPr>
            <w:tcW w:w="466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125730</wp:posOffset>
            </wp:positionV>
            <wp:extent cx="25031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(919) 228-6404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154305</wp:posOffset>
            </wp:positionV>
            <wp:extent cx="25031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142875</wp:posOffset>
            </wp:positionV>
            <wp:extent cx="25031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62" w:lineRule="exact"/>
        <w:rPr>
          <w:sz w:val="20"/>
          <w:szCs w:val="20"/>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A ordinary shares, par value $0.0001 per share</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AERT</w:t>
            </w:r>
          </w:p>
        </w:tc>
        <w:tc>
          <w:tcPr>
            <w:tcW w:w="2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198"/>
        </w:trPr>
        <w:tc>
          <w:tcPr>
            <w:tcW w:w="452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Redeemable warrants, each whole warrant exercisable for</w:t>
            </w:r>
          </w:p>
        </w:tc>
        <w:tc>
          <w:tcPr>
            <w:tcW w:w="246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AERTW</w:t>
            </w:r>
          </w:p>
        </w:tc>
        <w:tc>
          <w:tcPr>
            <w:tcW w:w="4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one Class A ordinary share at an exercise price of $11.50</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0"/>
          <w:szCs w:val="20"/>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31, 2025, Aeries Technology, Inc. (“Aeries” or the “Company”) entered into Amendment No. 1 (“Amendment No. 1”) to the Letter Agreement, dated September 16, 2025 (the “Letter Agreement”), by and between the Company and Sandia Investment Management LP (“Sandia”) with respect to that certain Confirmation of OTC Equity Prepaid Forward Transaction, dated as of November 3, 2023, by and between the Company and Sandia, as amended by that certain Forward Purchase Agreement Confirmation Amendment, dated as of November 3, 2023, as amended and restated by that certain Confirmation of OTC Equity Prepaid Forward Transaction, dated as of November 27, 2024 (as amended and restated, the “Forward Purchase Agreement”).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Letter Agreement provided for sales of the Company’s Class A ordinary shares held by Sandia issued pursuant to the Forward Purchase Agreement to offset the Company’s payment obligations to Sandia under the Forward Purchase Agreement at a sales price not lower than $1.05 per share continuing through December 31, 2025 (the “Designated Period”), among other things. Amendment No. 1 extends the Designated Period to January 9, 2026. All other terms and provisions of the Letter Agreement remain unchanged and in full force and effect.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summary of Amendment No. 1 is qualified in its entirety by reference to the text of the document, which is filed as Exhibit 10.1 hereto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82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11" w:lineRule="exact"/>
        <w:rPr>
          <w:sz w:val="20"/>
          <w:szCs w:val="20"/>
          <w:color w:val="auto"/>
        </w:rPr>
      </w:pPr>
    </w:p>
    <w:p>
      <w:pPr>
        <w:jc w:val="both"/>
        <w:ind w:left="1140" w:right="20" w:hanging="1133"/>
        <w:spacing w:after="0" w:line="258" w:lineRule="auto"/>
        <w:tabs>
          <w:tab w:leader="none" w:pos="11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Amendment No. 1 to Letter Agreement, dated December 31, 2025, by and between Aeries Technology, Inc. and Sandia Investment Management LP</w:t>
      </w:r>
    </w:p>
    <w:p>
      <w:pPr>
        <w:ind w:left="5580" w:right="4320" w:hanging="5572"/>
        <w:spacing w:after="0" w:line="636" w:lineRule="auto"/>
        <w:tabs>
          <w:tab w:leader="none" w:pos="11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Aeries Technology, Inc.</w:t>
            </w:r>
          </w:p>
        </w:tc>
      </w:tr>
      <w:tr>
        <w:trPr>
          <w:trHeight w:val="238"/>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A Cayman Islands exempted company</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7, 2026</w:t>
            </w: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Daniel S. Webb</w:t>
            </w:r>
          </w:p>
        </w:tc>
      </w:tr>
      <w:tr>
        <w:trPr>
          <w:trHeight w:val="189"/>
        </w:trPr>
        <w:tc>
          <w:tcPr>
            <w:tcW w:w="3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1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Daniel S. Webb</w:t>
            </w:r>
          </w:p>
        </w:tc>
      </w:tr>
      <w:tr>
        <w:trPr>
          <w:trHeight w:val="236"/>
        </w:trPr>
        <w:tc>
          <w:tcPr>
            <w:tcW w:w="35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560"/>
        </w:trPr>
        <w:tc>
          <w:tcPr>
            <w:tcW w:w="35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w:t>
            </w: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 LETTER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December 31, 2025</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Amendment No. 1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Letter Agreement is entered into by and between the parties to that certain Letter Agreement dated September 16, 2025 (the “</w:t>
      </w:r>
      <w:r>
        <w:rPr>
          <w:rFonts w:ascii="Times New Roman" w:cs="Times New Roman" w:eastAsia="Times New Roman" w:hAnsi="Times New Roman"/>
          <w:sz w:val="18"/>
          <w:szCs w:val="18"/>
          <w:u w:val="single" w:color="auto"/>
          <w:color w:val="auto"/>
        </w:rPr>
        <w:t>Letter Agreement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Extension of Designated Period</w:t>
      </w:r>
      <w:r>
        <w:rPr>
          <w:rFonts w:ascii="Times New Roman" w:cs="Times New Roman" w:eastAsia="Times New Roman" w:hAnsi="Times New Roman"/>
          <w:sz w:val="18"/>
          <w:szCs w:val="18"/>
          <w:color w:val="auto"/>
        </w:rPr>
        <w:t>: Notwithstanding anything to the contrary contained in the Letter Agreement, the parties hereby agree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“Designated Period” is extended and shall expire on January 9, 2026.</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Other Amendments</w:t>
      </w:r>
      <w:r>
        <w:rPr>
          <w:rFonts w:ascii="Times New Roman" w:cs="Times New Roman" w:eastAsia="Times New Roman" w:hAnsi="Times New Roman"/>
          <w:sz w:val="18"/>
          <w:szCs w:val="18"/>
          <w:color w:val="auto"/>
        </w:rPr>
        <w:t>: Except as expressly set forth in this Amendment, all terms and provisions of the Letter Agreement shall remain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unchanged and in full force and effect.</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 of Amendment</w:t>
      </w:r>
      <w:r>
        <w:rPr>
          <w:rFonts w:ascii="Times New Roman" w:cs="Times New Roman" w:eastAsia="Times New Roman" w:hAnsi="Times New Roman"/>
          <w:sz w:val="18"/>
          <w:szCs w:val="18"/>
          <w:color w:val="auto"/>
        </w:rPr>
        <w:t>: This Amendment shall be deemed to form a part of, and be read together with, the Letter Agreement, and any reference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Letter Agreement therein shall mean the Letter Agreement as amended by this Amendment.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Amendment No. 1 as of the date first written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AERIES TECHNOLOGY, INC.</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Bhisham Khare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Bhisham Khare</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Director and 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SANDIA INVESTMENT MANAGEMENT LP</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Tom Cagna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Tom Cagna</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COO, CFO &amp; CCO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2026-01-07T15:22:46Z</dcterms:created>
  <dcterms:modified xsi:type="dcterms:W3CDTF">2026-01-07T15:22:46Z</dcterms:modified>
</cp:coreProperties>
</file>