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November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150495</wp:posOffset>
            </wp:positionV>
            <wp:extent cx="188595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0" cy="488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7"/>
          <w:szCs w:val="17"/>
          <w:b w:val="1"/>
          <w:bCs w:val="1"/>
          <w:color w:val="auto"/>
        </w:rPr>
        <w:t>Filed Pursuant to 424(b)(5)</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333-290655</w:t>
      </w:r>
    </w:p>
    <w:p>
      <w:pPr>
        <w:spacing w:after="0" w:line="200" w:lineRule="exact"/>
        <w:rPr>
          <w:sz w:val="24"/>
          <w:szCs w:val="24"/>
          <w:color w:val="auto"/>
        </w:rPr>
      </w:pPr>
    </w:p>
    <w:p>
      <w:pPr>
        <w:sectPr>
          <w:pgSz w:w="11900" w:h="16838" w:orient="portrait"/>
          <w:cols w:equalWidth="0" w:num="2">
            <w:col w:w="8340" w:space="720"/>
            <w:col w:w="2180"/>
          </w:cols>
          <w:pgMar w:left="320" w:top="44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$4,485,000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Aeries Technology, Inc. has entered into a Sales Agreement (the “Sales Agreement”) with Roth Capital Partners, LLC (“Roth” or the “Sales Agent”) relating to the offer and sale of up to $4,485,000 of our Class A ordinary shares, par value $0.0001 per share (the “Class A ordinary shares”), offered by this prospectus supplement and the accompanying prospectus.</w:t>
      </w:r>
    </w:p>
    <w:p>
      <w:pPr>
        <w:spacing w:after="0" w:line="176"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our Class A ordinary shares, if any, under this prospectus supplement and the accompanying prospectus may be made in transactions that are deemed to be “at-the-market” offerings as defined in Rule 415 under the Securities Act of 1933, as amended (the “Securities Act”), including sales made directly on or through the Nasdaq Capital Market (“Nasdaq”), the trading market for our Class A ordinary shares, or any other trading market in the United States for our Class A ordinary shares, sales made to or through a market maker other than on an exchange, directly to the Sales Agent as principal for its own account in negotiated transactions at market prices prevailing at the time of sale or at prices related to such prevailing market prices, in privately negotiated transactions, in block trades, or through a combination of any such methods of sale. The Sales Agent will act as sales agent on a commercially reasonable efforts basis consistent with its normal trading and sales practices. There is no arrangement for funds to be received in any escrow, trust or similar arrangement.</w:t>
      </w:r>
    </w:p>
    <w:p>
      <w:pPr>
        <w:spacing w:after="0" w:line="19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pay the Sales Agent a commission equal to 3.0% of the gross sales price per Class A ordinary share issued by us and sold through the Sales Agent as our sales agent under the Sales Agreement. In connection with the sale of the Class A ordinary shares on our behalf, the Sales Agent will be deemed to be an “underwriter” within the meaning of the Securities Act and the compensation of the Sales Agent will be deemed to be underwriting commissions or discounts. We have also agreed to provide indemnification and contribution to Sales Agent with respect to certain liabilities, including liabilities under the Securities Act or Securities Exchange Act of 1934, as amended.</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trade on The Nasdaq Capital Market (“Nasdaq”) under the symbol “AERT.” On November 26, 2025, the last reported sale price for our Class A ordinary shares was $0.5674 per share.</w:t>
      </w:r>
    </w:p>
    <w:p>
      <w:pPr>
        <w:spacing w:after="0" w:line="16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October 1, 2025, the aggregate market value of our outstanding Class A ordinary shares held by non-affiliates was approximately $13,466,498, which was calculated based on 48,353,810 outstanding Class A ordinary shares, of which 12,242,271 shares are held by non-affiliates, and the last reported sale price of our Class A ordinary shares of $1.10 per share on August 14, 2025. Pursuant to General Instruction I.B.6 of Form S-3, in no event will we sell securities in a public primary offering with a value exceeding more than one-third of our public float in any 12-month period so long as our public float remains below $75,000,000. As of the date of this prospectus supplement, we have not sold any securities pursuant to General Instruction 1.B.6 of Form S-3 during the 12-calendar month period that ends on and includes the date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 INVESTMENT DECISION, YOU SHOULD CAREFULLY REVIEW AND CONSIDER ALL OF THE INFORMATION SET FORTH IN THIS PROSPECTUS SUPPLEMENT, THE ACCOMPANYING PROSPECTUS AND THE DOCUMENTS INCORPORATED BY REFERENCE HEREIN AND THEREIN, INCLUDING THE RISKS AND UNCERTAINTIES DESCRIBED UNDER “RISK FACTORS” BEGINNING ON PAGE S-8 OF THIS PROSPECTUS SUPPLEMENT AND THE RISK FACTORS INCORPORATED BY REFERENCE INTO THIS PROSPECTUS SUPPLEMENT AND THE ACCOMPANYING PROSPECTUS.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Capital Partners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November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2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45"/>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10240" w:type="dxa"/>
            <w:vAlign w:val="bottom"/>
            <w:gridSpan w:val="1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S-1</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102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94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02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6"/>
        </w:trPr>
        <w:tc>
          <w:tcPr>
            <w:tcW w:w="102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5"/>
        </w:trPr>
        <w:tc>
          <w:tcPr>
            <w:tcW w:w="1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66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UNITED STATES FEDERAL INCOME TAX CONSIDERATIONS FOR U.S. HOLDERS</w:t>
            </w:r>
          </w:p>
        </w:tc>
        <w:tc>
          <w:tcPr>
            <w:tcW w:w="36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176"/>
        </w:trPr>
        <w:tc>
          <w:tcPr>
            <w:tcW w:w="102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175"/>
        </w:trPr>
        <w:tc>
          <w:tcPr>
            <w:tcW w:w="38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42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2240" w:type="dxa"/>
            <w:vAlign w:val="bottom"/>
            <w:tcBorders>
              <w:bottom w:val="single" w:sz="8" w:color="0000EE"/>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2"/>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60" w:type="dxa"/>
            <w:vAlign w:val="bottom"/>
            <w:tcBorders>
              <w:top w:val="single" w:sz="8" w:color="CCEEFF"/>
            </w:tcBorders>
            <w:gridSpan w:val="1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OUR CLASS A ORDINARY SHARES</w:t>
            </w:r>
          </w:p>
        </w:tc>
        <w:tc>
          <w:tcPr>
            <w:tcW w:w="58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PREFERENCE SHARES WE MAY OFFER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44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 WE MAY OFFER</w:t>
            </w:r>
          </w:p>
        </w:tc>
        <w:tc>
          <w:tcPr>
            <w:tcW w:w="584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2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PROVISIONS OF CAYMAN ISLANDS LAW AND OF THE COMPANY’S AMENDED AND RESTATED</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08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MEMORANDUM AND ARTICLES OF ASSOCIATION</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forms part of a registration statement on Form S-3 that we filed with the Securities and Exchange Commission, or the SEC, utilizing a “shelf” registration process. Under this shelf process, we may from time to time sell any combination of securities described in the accompanying prospectus in one or more offerings.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to “Aeries,” “Aeries Technology,” “ATI,” the “Company,” “we,” “us” or “our” are to Aeries Technology, Inc. and its subsidiaries.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herein by reference, may add, update or change information in the accompanying prospectus and in any free writing prospectuses we may provide to you in connection with this offering. You should read both this prospectus supplement and the accompanying prospectus together with additional information described under the headings “Where You Can Find More Information” and “Incorporation by Reference.” If there is any inconsistency between the information in this prospectus supplement and the accompanying prospectus, you should rely on the information in this prospectus supplement.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may rely only on the information contained in or incorporated by reference in this prospectus supplement and the accompanying prospectus. Neither we nor the Sales Agent has authorized anyone to provide information different from that contained in this prospectus supplement, the accompanying prospectus and the documents incorporated by reference herein and therein. If anyone provides you with different or inconsistent information, you should not rely on it. The information in this prospectus supplement, the accompanying prospectus and in any free writing prospectuses we may provide to you in connection with this offering is accurate only as of their respective dates, regardless of time of delivery. Our business, financial condition, results of operations and prospects may have changed since those dates.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accompanying prospectcus does not constitute, and may not be used in connection with, an offer to sell, or a solicitation of an offer to buy, any securities offered by this prospectus supplement and accompanying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prospectus supplement and accompanying prospectus to our consolidated financial statements include, unless the context indicates otherwise, the related notes.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incorporate by reference include trademarks, service marks and trade names owned by us or other companies. All trademarks, service marks and trade names included or incorporated by reference into this prospectus supplement, the accompanying prospectus and the documents we incorporate by reference are the property of their respective owners.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industry and market data and other statistical information contained in this prospectus supplement, the accompanying prospectus and the documents we incorporate by reference are based on management’s own estimates, independent publications, government publications, reports by market research firms or other published independent sources, and, in each case, are believed by management to be reasonable estimates. Although we believe these sources are reliable, we have not independently verified the information. None of the independent industry publications used in this prospectus supplement, the accompanying prospectus or the documents we incorporate by reference were prepared on our or our affiliates’ behalf and none of the sources cited by us consented to the inclusion of any data from its reports, nor have we sought their consent.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the statements contained in this prospectus supplement and/or incorporated by reference into this prospectus supplement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“will,” “would” and similar expressions may identify forward-looking statements, but the absence of these words does not mean that a statement is not forward-looking. Such statements are based on expectations as to the future and are not statements of historical fact.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 following factors, among others, could cause actual results and the timing of events to differ materially from the anticipated results or other expectations expressed in the forward-looking statements:</w:t>
      </w:r>
    </w:p>
    <w:p>
      <w:pPr>
        <w:spacing w:after="0" w:line="18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Class A ordinary shares and the warrants on Nasdaq, and the potential liquidity and trading of such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development efforts to maximize our potential value and to retain and expand our customer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operating expenses and capital expenditure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officers, key employees or directors, or any necessary changes to these positions;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 the United States and foreign jurisdictions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effective internal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cybersecurity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use of artificial intelligence, machine learning, and other emerging technologies, including their integration into our operations and potential regulatory, ethical, and reputational impacts;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or future litigation, regulatory inquiries, or governmental investigations;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the effects of the Russia-Ukraine and the Israel-Hamas conflicts, pandemics such as the COVID-19 outbreak, recessions, interest rates, inflation, local and national elections, fuel prices, international currency fluctuations, changes in diplomatic and trade relationships, political instability, acts of war or terrorism and natural disasters;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this prospectus supplement and our other filings with the Securities and Exchange Commission.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be amplified in the future and there may be additional risks that we currently consider immaterial or which are unknown. It is not possible to predict or identify all such risks.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to reflect events or circumstances after the date of this prospectus supplement or to reflect the occurrence of unanticipated events, except as required by applicable law. You should not place undue reliance on forward-looking statements, which speak only as of the date they are made.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27875" cy="6998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6998970"/>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This summary does not contain all the information that you should consider before investing in our securities. You should read the entire prospectus and this prospectus supplement carefully, including the “Risk Factors” contained in the prospectus and this prospectus supplement, and the documents incorporated by reference herein and therein and the financial statements incorporated by reference in this prospectus supplement and the accompanying prospectus, before making an investment decision.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Aeries Technology is a global provider of professional and technology consulting services, to portfolio companies of private equity firms and middle-market companies, specializing in the design, set-up and management of Global Capability Centers (“GCCs”) for our clients. Our offerings are designed to provide a mix of deep vertical specialty, functional expertise, and digital systems and solutions offering end-to-end coverage for the entire GCC lifecycle to scale, optimize and transform a client’s business operations. By leveraging artificial intelligence (“AI”), implementing process improvements, and recruiting talent in cost-effective geographies, we are positioned to deliver significant cost savings to our clients. With over a decade of experience, we are committed to delivering transformative business solutions that drive operational efficiency, innovation, and strategic growth, to positively impact value creation for our clients.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solutions are purpose-built to help our clients unlock business value—enhancing revenue growth through accelerated innovation and improved customer experience, while also driving operating efficiency through optimized cost structures and scalable delivery. Aeries-built GCCs serve as strategic platforms through which clients can adopt and embed the latest technologies, including AI, advanced analytics, and modern enterprise tools and practices. Clients maintain strategic oversight and operational control, with the flexibility to adapt GCC ownership structures as business needs evolve. Through our integrated model, Aeries enables organizations to move faster, serve customers better, and build long-term enterprise value.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support and drive our clients’ global growth by providing a range of services, including professional advisory services and operations management services, to build and manage GCCs in suitable and cost-effective locations based on client business needs. With a focus towards digital enterprise enablement, these GCCs are designed to act as seamless extensions of the client organization, providing access to top-tier resources. We believe this empowers our clients to remain competitive and nimble and to achieve their goals of enduring cost efficiencies, operational excellence, and value creation, without sacrificing functional control and flexibility.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advisory services involve the active participation of senior leadership, recommending strategies and best practices related to operating model design, consultation on various areas, market availability for resources with appropriate skillsets required for specific roles contemplated in the service model, regulatory compliance, optimization of tax structure, and more. Our clients can customize the services based on options we provide, and we subsequently firm up the execution plan with the clients.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aspect of our service is our focus on digital transformation. We aim to leverage cutting-edge technologies, including AI, to drive innovation and streamline operations. Our technology services are designed to enhance decision-making, automate processes, and deliver significant business value. We believe this approach through GCC set-up improves operational efficiencies, enabling us to deliver digital transformation services that align with our clients’ growth strategies and support their competitiveness in an evolving digital landscape.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clients also use our services to manage their organizational operations, including software development, information technology, data analytics, cybersecurity, finance, human resources, customer service and operations. We hire appropriate talent and personnel on our payroll for deployment on client operations. We work with our clients collaboratively to select the appropriate candidates and create functional alignment with the clients’ organizations. While our talent becomes an extension of our clients’ team, Aeries continues to provide them with the opportunity for promotion, recognition and career path progression, which we believe results in higher employee satisfaction and lower voluntary attrition rates. We manage the regulatory, tax, recruiting, human resources compliance and branding for each of our GCCs.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16" w:right="45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27875" cy="6313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313170"/>
                    </a:xfrm>
                    <a:prstGeom prst="rect">
                      <a:avLst/>
                    </a:prstGeom>
                    <a:noFill/>
                  </pic:spPr>
                </pic:pic>
              </a:graphicData>
            </a:graphic>
          </wp:anchor>
        </w:drawing>
        <w:t>Our business model aims to create a more flexible and cost-effective talent pool for deployment on clients’ operations, while fostering innovation through strategic alignment at senior levels and visibility across the organization. The model also aims to insulate our clients from regulatory and tax issues and provides flexibility in scaling teams up or down based on their changing business needs. We are committed to delivering best practices and success factors by leveraging our visibility into successful strategies from multiple companies, addressing many of the deficiencies associated with the traditional outsourcing and offshoring models.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Aeries Technology, Inc. (formerly known as Worldwide Webb Acquisition Corp. or “WWAC”) was originally incorporated on March 5, 2021 for the purpose of effecting a merger, capital stock exchange, asset acquisition, stock purchase, reorganization or similar business combination with one or more businesses. On October 22, 2021, WWAC consummated an initial public offering (the “IPO”), after which its securities began trading on Nasdaq.</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6, 2023 (the “Closing Date”), Aark Singapore Pte. Ltd., a Singapore private company limited by shares (“AARK”), consummated a business combination pursuant to that certain Business Combination Agreement, dated as of March 11, 2023 (as amended, the “Business Combination Agreement”), by and among WWAC, WWAC Amalgamation Sub Pte. Ltd., a Singapore private company limited by shares and a direct wholly owned subsidiary of WWAC (“Amalgamation Sub”), and AARK. Pursuant to the Business Combination Agreement, Amalgamation Sub and AARK amalgamated and continued as one company, with AARK being the surviving entity, and as a result thereof, Aeries Technology Group Business Accelerators Pvt. Ltd., an Indian private company limited by shares became an indirect subsidiary of WWAC (the “Amalgamation” and, together with the other transactions contemplated by the Business Combination Agreement, the “Business Combination”).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changed our name from Worldwide Webb Acquisition Corp. to Aeries Technology, Inc. Following the Closing Date, we changed the trading symbols for our Class A ordinary shares and warrants to purchase Class A ordinary shares on Nasdaq from “WWAC” and “WWACW” to “AERT” and “AERTW,”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Status as a Cayman Islands Exempted Company and as a Public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Revised) of the Cayman Islands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Public Company Accounting Reform and Investor Protection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27875" cy="3432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3432810"/>
                    </a:xfrm>
                    <a:prstGeom prst="rect">
                      <a:avLst/>
                    </a:prstGeom>
                    <a:noFill/>
                  </pic:spPr>
                </pic:pic>
              </a:graphicData>
            </a:graphic>
          </wp:anchor>
        </w:drawing>
        <w:t>In addition, Section 107 of the Jumpstart Our Business Startups Act of 2012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the IPO in October 2021, (b) in which we have total annual gross revenue of at least $1.235 billion, or (c) in which we are deemed to be a large accelerated filer, which means the market value of our ordinary shares that are held by non-affiliates equals or exceeds $700 million as of the end of that year’s second fiscal quarter, and (2) the date on which we have issued more than $1 billion in non-convertible debt securities during the prior three-year period.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as long as (1) the market value of our ordinary shares held by non-affiliates is less than $250 million as of the end of a year’s second fiscal quarter, or (2) our annual revenues are less than $100 million during a completed fiscal year and the market value of our ordinary shares held by non-affiliates is less than $700 million as of the end of that year’s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60 Paya Lebar Road, #08-13, Paya Lebar Square, Singapore, and our telephone number at that location is 65 98416625. Our website address is </w:t>
      </w:r>
      <w:r>
        <w:rPr>
          <w:rFonts w:ascii="Times New Roman" w:cs="Times New Roman" w:eastAsia="Times New Roman" w:hAnsi="Times New Roman"/>
          <w:sz w:val="18"/>
          <w:szCs w:val="18"/>
          <w:i w:val="1"/>
          <w:iCs w:val="1"/>
          <w:color w:val="auto"/>
        </w:rPr>
        <w:t>https://aeriestechnology.com/</w:t>
      </w:r>
      <w:r>
        <w:rPr>
          <w:rFonts w:ascii="Times New Roman" w:cs="Times New Roman" w:eastAsia="Times New Roman" w:hAnsi="Times New Roman"/>
          <w:sz w:val="18"/>
          <w:szCs w:val="18"/>
          <w:color w:val="auto"/>
        </w:rPr>
        <w:t>. Information contained on our website is not a part of this prospectus supplement, and the inclusion of our website address in this prospectus supplement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20" w:right="45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790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offered by us</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ordinary shares having an aggregate offering price of up to $4,485,000.</w:t>
            </w:r>
          </w:p>
        </w:tc>
      </w:tr>
      <w:tr>
        <w:trPr>
          <w:trHeight w:val="41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to be</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 to 54,939,713 shares, after giving effect to the sale of $4,485,000 of Class A ordinary shares stock at</w:t>
            </w:r>
          </w:p>
        </w:tc>
      </w:tr>
      <w:tr>
        <w:trPr>
          <w:trHeight w:val="220"/>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assumed price of $0.681 per share, which was the closing price of our Class A ordinary shares on the</w:t>
            </w:r>
          </w:p>
        </w:tc>
      </w:tr>
      <w:tr>
        <w:trPr>
          <w:trHeight w:val="216"/>
        </w:trPr>
        <w:tc>
          <w:tcPr>
            <w:tcW w:w="310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Nasdaq Capital Market on September 26, 2025. The maximum number of Class A ordinary shares that</w:t>
            </w:r>
          </w:p>
        </w:tc>
      </w:tr>
      <w:tr>
        <w:trPr>
          <w:trHeight w:val="220"/>
        </w:trPr>
        <w:tc>
          <w:tcPr>
            <w:tcW w:w="3100" w:type="dxa"/>
            <w:vAlign w:val="bottom"/>
          </w:tcPr>
          <w:p>
            <w:pPr>
              <w:spacing w:after="0"/>
              <w:rPr>
                <w:sz w:val="19"/>
                <w:szCs w:val="19"/>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be issued will vary depending on the price at which Class A ordinary shares may be sold from time to</w:t>
            </w:r>
          </w:p>
        </w:tc>
      </w:tr>
      <w:tr>
        <w:trPr>
          <w:trHeight w:val="394"/>
        </w:trPr>
        <w:tc>
          <w:tcPr>
            <w:tcW w:w="3100" w:type="dxa"/>
            <w:vAlign w:val="bottom"/>
          </w:tcPr>
          <w:p>
            <w:pPr>
              <w:spacing w:after="0"/>
              <w:rPr>
                <w:sz w:val="24"/>
                <w:szCs w:val="24"/>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time during this offering. </w:t>
            </w:r>
            <w:r>
              <w:rPr>
                <w:rFonts w:ascii="Times New Roman" w:cs="Times New Roman" w:eastAsia="Times New Roman" w:hAnsi="Times New Roman"/>
                <w:sz w:val="29"/>
                <w:szCs w:val="29"/>
                <w:color w:val="auto"/>
                <w:vertAlign w:val="superscript"/>
              </w:rPr>
              <w:t>(1)</w:t>
            </w:r>
          </w:p>
        </w:tc>
      </w:tr>
      <w:tr>
        <w:trPr>
          <w:trHeight w:val="291"/>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Manner of offering</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the market offering,” as defined in Rule 415(a)(4) of the Securities Act, that may be made from time</w:t>
            </w:r>
          </w:p>
        </w:tc>
      </w:tr>
      <w:tr>
        <w:trPr>
          <w:trHeight w:val="216"/>
        </w:trPr>
        <w:tc>
          <w:tcPr>
            <w:tcW w:w="310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time by the Sales Agent. We may also sell the Class A ordinary shares to the Sales Agent as principal</w:t>
            </w:r>
          </w:p>
        </w:tc>
      </w:tr>
      <w:tr>
        <w:trPr>
          <w:trHeight w:val="216"/>
        </w:trPr>
        <w:tc>
          <w:tcPr>
            <w:tcW w:w="310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its own accounts, at a price per share agreed upon at the time of sale. If we sell shares to a Sales Agent</w:t>
            </w:r>
          </w:p>
        </w:tc>
      </w:tr>
      <w:tr>
        <w:trPr>
          <w:trHeight w:val="216"/>
        </w:trPr>
        <w:tc>
          <w:tcPr>
            <w:tcW w:w="310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principal, we will enter into a separate terms agreement setting forth the terms of such transaction, and</w:t>
            </w:r>
          </w:p>
        </w:tc>
      </w:tr>
      <w:tr>
        <w:trPr>
          <w:trHeight w:val="216"/>
        </w:trPr>
        <w:tc>
          <w:tcPr>
            <w:tcW w:w="310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 will describe the agreement in a pricing supplement. See “Plan of Distribution” on page S-19 of this</w:t>
            </w:r>
          </w:p>
        </w:tc>
      </w:tr>
      <w:tr>
        <w:trPr>
          <w:trHeight w:val="234"/>
        </w:trPr>
        <w:tc>
          <w:tcPr>
            <w:tcW w:w="3100" w:type="dxa"/>
            <w:vAlign w:val="bottom"/>
          </w:tcPr>
          <w:p>
            <w:pPr>
              <w:spacing w:after="0"/>
              <w:rPr>
                <w:sz w:val="20"/>
                <w:szCs w:val="20"/>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We currently intend to use the estimated net proceeds from the sale of this offering for working capital and</w:t>
            </w:r>
          </w:p>
        </w:tc>
      </w:tr>
      <w:tr>
        <w:trPr>
          <w:trHeight w:val="234"/>
        </w:trPr>
        <w:tc>
          <w:tcPr>
            <w:tcW w:w="3100" w:type="dxa"/>
            <w:vAlign w:val="bottom"/>
          </w:tcPr>
          <w:p>
            <w:pPr>
              <w:spacing w:after="0"/>
              <w:rPr>
                <w:sz w:val="20"/>
                <w:szCs w:val="20"/>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corporate purposes. See “Use of Proceeds” for additional information.</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Investing in our Class A ordinary shares involves significant risks. See the section entitled “Risk Factors”</w:t>
            </w:r>
          </w:p>
        </w:tc>
      </w:tr>
      <w:tr>
        <w:trPr>
          <w:trHeight w:val="216"/>
        </w:trPr>
        <w:tc>
          <w:tcPr>
            <w:tcW w:w="310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on page S-8 and the other information included or incorporated by reference in this prospectus</w:t>
            </w:r>
          </w:p>
        </w:tc>
      </w:tr>
      <w:tr>
        <w:trPr>
          <w:trHeight w:val="216"/>
        </w:trPr>
        <w:tc>
          <w:tcPr>
            <w:tcW w:w="310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supplement and the accompanying prospectus for a discussion of factors you should carefully consider</w:t>
            </w:r>
          </w:p>
        </w:tc>
      </w:tr>
      <w:tr>
        <w:trPr>
          <w:trHeight w:val="234"/>
        </w:trPr>
        <w:tc>
          <w:tcPr>
            <w:tcW w:w="3100" w:type="dxa"/>
            <w:vAlign w:val="bottom"/>
          </w:tcPr>
          <w:p>
            <w:pPr>
              <w:spacing w:after="0"/>
              <w:rPr>
                <w:sz w:val="20"/>
                <w:szCs w:val="20"/>
                <w:color w:val="auto"/>
              </w:rPr>
            </w:pP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before deciding to invest in our Class A ordinary shares.</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Nasdaq Capital Market Symbol</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“AERT.”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27875" cy="635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356350"/>
                    </a:xfrm>
                    <a:prstGeom prst="rect">
                      <a:avLst/>
                    </a:prstGeom>
                    <a:noFill/>
                  </pic:spPr>
                </pic:pic>
              </a:graphicData>
            </a:graphic>
          </wp:anchor>
        </w:drawing>
      </w: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Class A ordinary shares to be outstanding after this offering is based on 48,353,810 Class A ordinary shares outstanding as of October 1, 2025 and excludes the following:</w:t>
      </w:r>
    </w:p>
    <w:p>
      <w:pPr>
        <w:spacing w:after="0" w:line="161"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9,715,163 Class A ordinary shares issuable upon the exercise of exchange rights held by certain of our directors and officers pursuant to exchange agreements between the Company and such individuals;</w:t>
      </w:r>
    </w:p>
    <w:p>
      <w:pPr>
        <w:spacing w:after="0" w:line="161"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21,027,801 Class A ordinary shares issuable upon the exercise of outstanding redeemable warrants to purchase Class A ordinary shares at an exercise price per share of $11.50;</w:t>
      </w:r>
    </w:p>
    <w:p>
      <w:pPr>
        <w:spacing w:after="0" w:line="161"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59,900 Class A ordinary shares issuable upon the exercise of outstanding options issued pursuant to our Employees Stock Option Plan at a weighted average exercise price per share of $0.12;</w:t>
      </w:r>
    </w:p>
    <w:p>
      <w:pPr>
        <w:spacing w:after="0" w:line="161"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295,565 Class A ordinary shares issuable upon the exercise of outstanding options issued pursuant to our 2019 Management Stock Option Plan at a weighted average exercise price per share of $0.12; and</w:t>
      </w:r>
    </w:p>
    <w:p>
      <w:pPr>
        <w:spacing w:after="0" w:line="161"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2,397,260 Class A ordinary shares reserved for future issuance under our 2023 Equity Incentive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4"/>
          </w:cols>
          <w:pgMar w:left="436" w:top="1116" w:right="4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risk factors as well as the Risk Factors described in our Annual Report on Form 10-K for our most recent fiscal year (together with any material changes thereto contained in subsequent filed Quarterly Reports on Form 10-Q and Current Reports on Form 8-K) and those contained in our other filings with the SEC, which are incorporated by reference in this prospectus supplement. Each of these risk factors, either alone or taken together, could adversely affect our business, operating results and financial condition, as well as adversely affect the value of an investment in our Class A ordinary shares.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Class A ordinary shares could decline. As a result, you could lose some or all of any investment you may make in our Class A ordinary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of Our Class A Ordinary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Class A ordinary shares in this offering, or the perception that such sales may occur, could cause the market price of our Class A ordinary shares to fall.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and sell our Class A ordinary shares for aggregate gross proceeds of up to $4.485 million from time to time in connection with this offering. The issuance and sale from time to time of these new Class A ordinary shares, or our ability to issue these new Class A ordinary shares in this offering, could have the effect of depressing the market price of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suffer immediate and substantial dilution in the net tangible book value per Class A ordinary shares that you purchase in this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however, the assumed public offering price of our Class A ordinary shares is substantially higher than the as-adjusted net tangible book value per Class A ordinary share. Therefore, investors purchasing Class A ordinary shares in this offering will pay a price per share that substantially exceeds the as-adjusted net tangible book value per share after this offering. Assuming that an aggregate of 6,585,903 of our Class A ordinary shares are sold at a public offering price of $0.681 per share, the last reported sale price of our Class A ordinary shares on the Nasdaq Capital Market on September 26, 2025, for aggregate gross proceeds of $4.485 million, new investors in this offering will experience immediate dilution of $0.69 per share, representing the difference between the assumed public offering price and our as adjusted net tangible book value per share after giving effect to this offering. See “Dilution” for a more detailed discussion of the dilution you would incur if you purchase Class A ordinary shares in this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Class A ordinary shares or other securities convertible into or exchangeable for our Class A ordinary shares at prices that may not be the same as the price per share in this offering. The price per share at which we sell additional Class A ordinary shares, or securities convertible or exchangeable into Class A ordinary shares, in future transactions may be lower than the price per share paid by investors in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not use them effectively.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our shareholders will not have the opportunity as part of their investment decisions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in our investment of these net proceeds. You will not have the opportunity to influence our decisions on how to use our net proceeds from this offering.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ordinary shares offered hereby will be sold in “at-the-market” offerings, and investors who buy shares at different times will likely pay different prices.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sales notice to the Sales Agent at any time throughout the term of the Sales Agreement. The number of shares that are sold by the Sales Agent after we deliver a sales notice will fluctuate based on the market price of our Class A ordinary shares during the sales period and limits we set with the Sales Agent. Because the price per share of each share sold will fluctuate based on the market price of our Class A ordinary shares during the sales period, it is not possible at this stage to predict the number of shares, if any, that will ultimately be issued.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ordinary shares and trading volume has fluctuated in the past, has recently been volatile and may be volatile in the future for reasons unrelated to our operating performance or prospects, and as a result, investors in our Class A ordinary shares could incur substantial losses.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price of our Class A ordinary shares has fluctuated in the past, has recently been volatile and may be volatile in the future. From the beginning of fiscal 2026 to date, daily trading volume ranged from approximately 700 to approximately 186,113,700 shares. We may incur rapid and substantial decreases in our Class A ordinary share price in the foreseeable future that are unrelated to our operating performance or prospects. The stock market has experienced extreme volatility that has often been unrelated to the operating performance of particular companies. As a result of this volatility, investors may experience losses on their investment in our Class A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seriously harm the market price of our Class A ordinary shares,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 There can be no guarantee that the trading price of our Class A ordinary shares will remain at current prices or that future sales of our Class A ordinary shares will not be at prices lower than those sold to investors.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recently, securities of certain companies have experienced significant and extreme volatility in stock price due to a sudden increase in demand for stock resulting in aggregate short positions in the stock exceeding the number of shares available for purchase, forcing investors with short exposure to pay a premium to repurchase shares for delivery to share lenders. This is known as a “short squeeze.” These short squeezes have led to the price per share of those companies to trade at a significantly inflated rate that is disconnected from the underlying value of the company. Many investors who have purchased shares in those companies at an inflated rate face the risk of losing a significant portion of their original investment as the price per share declines steadily as interest in those stocks abates. While we have no reason to believe our shares would be the target of a short squeeze, there can be no assurance that they will not be in the future, and you may lose a significant portion or all of your investment if you purchase our shares at a rate that is significantly disconnected from their underlying value.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ordinary shares depend, in part, on the research and reports that securities or industry analysts publish about us or our business. We do not have any control over these analysts or the content that they publish about us. If our financial performance fails to meet analyst estimates or one or more of the analysts who cover us downgrade our Class A ordinary shares or change their opinion of our Class A ordinary shares, our share price would likely decline.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may not pay cash dividends for the foreseeable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our shares. We currently intend to retain all available funds and future earnings, if any, to fund the development and growth of the business, and therefore, do not anticipate declaring or paying any cash dividends on our Class A ordinary shares for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Cayman Islands law affecting the payment of dividends and distributions to shareholders and any other factors or considerations the board of directors deems relevant. Accordingly, investors must rely on sales of their Class A ordinary shares after price appreciation, which may never occur, as the only way to realize any future gains on their investments.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and sell our Class A ordinary shares having aggregate gross proceeds of up to $4.485 million from time to time. Because there is no minimum offering amount required as a condition to close this offering, the actual total public offering amount, commissions paid to the Sales Agent and proceeds to us, if any, are not determinable at this time. We estimate that the net proceeds from the sale of the Class A ordinary shares that we are offering may be up to approximately $4.35 million, after deducting commissions payable to the Sales Agent and before deducting offering expenses payable by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use the estimated net proceeds from the sale of this offering for working capital and general corporate purposes. We have not yet determined the amount of net proceeds to be used specifically for any particular purposes or the timing of these expenditures. Accordingly, our management will have significant discretion and flexibility in applying the net proceeds from the sale of these securities, and investors will be relying on our judgment regarding the application of the net proceeds from this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maintain the net proceeds as cash deposits or cash management instruments, such as U.S. government securities or money market mutual funds.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share capital. We currently intend to retain any future earnings for use in the operation of our business and do not anticipate paying any dividends on our Class A ordinary shares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purchase Class A ordinary shares in this offering, you will experience dilution to the extent of the difference between the public offering price per share in this offering and our as adjusted net tangible book value per share after this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tangible book value per share represents total tangible assets less total liabilities, divided by the number of Class A ordinary shares outstanding. Our historical net tangible book value as of June 30, 2025 was approximately $(4.4) million, or $(0.09) per Class A ordinary share. After giving effect to the sale of our Class A ordinary shares in the aggregate amount of $4.485 million at an assumed public offering price of $0.681 per share, the last reported sale price of our Class A ordinary shares on the Nasdaq Capital Market on September 26, 2025, and after deducting Sales Agent commissions and estimated offering expenses payable by us, our as adjusted net tangible book value as of June 30, 2025 would have been approximately $(0.2) million, or approximately $(0.00) per share. This represents an immediate increase in net tangible book value of approximately $0.09 per share to existing shareholders and an immediate dilution in as adjusted net tangible book value of approximately $0.69 per share to new investors in this offering.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basis. The as adjusted information is illustrative only and will adjust based on the actual public offering price, the actual number of shares sold and other terms of the offering determined at the time our Class A ordinary shares are sold pursuant to this prospectus supplement and the accompanying prospectus. The as adjusted information assumes that all of our Class A ordinary shares in the aggregate amount of $4.485 million is sold at the assumed public offering price of $0.681 per share. The shares sold in this offering, if any, will be sold from time to time at various prices.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0.681</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2025</w:t>
            </w: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(0.09)</w:t>
            </w:r>
          </w:p>
        </w:tc>
        <w:tc>
          <w:tcPr>
            <w:tcW w:w="8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0.09</w:t>
            </w:r>
          </w:p>
        </w:tc>
        <w:tc>
          <w:tcPr>
            <w:tcW w:w="82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18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An increase of $0.10 per share in the price at which the shares are sold from the assumed offering price of $0.681 per share shown in the table above, assuming all of our Class A ordinary shares in the aggregate amount of $4.485 million are sold at that price, would increase our adjusted net tangible book value per share after the offering to $(0.00) per share and would increase the dilution by $0.10 per share to new investors in this offering. A decrease of $0.10 per share in the price at which the shares are sold from the assumed offering price of $0.681 per share shown in the table above, assuming all of our Class A ordinary shares in the aggregate amount of $4.485 million are sold at that price, would decrease our adjusted net tangible book value per share after the offering to $(0.00) per share and would decrease the dilution by $0.10 per share to new investors in this offering. This information is supplied for illustrative purposes only, and will adjust based on the actual offering prices, the actual number of shares that we offer and sell in this offering and other terms of each sale of shares in this offering.</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our Class A ordinary shares to be outstanding after this offering is based on 47,152,626 Class A ordinary shares outstanding as of June 30, 2025 and excludes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10,566,347 Class A ordinary shares issuable upon the exercise of exchange rights held by certain of our directors and officers pursuant to exchange agreements between the Company and such individuals;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21,027,801 Class A ordinary shares issuable upon the exercise of outstanding redeemable warrants to purchase Class A ordinary shares at an exercise price per share of $11.50;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59,900 Class A ordinary shares issuable upon the exercise of outstanding options issued pursuant to our Employees Stock Option Plan at a weighted average exercise price per share of $0.12;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295,565 Class A ordinary shares issuable upon the exercise of outstanding options issued pursuant to our 2019 Management Stock Option Plan at a weighted average exercise price per share of $0.12;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2,397,260 Class A ordinary shares reserved for future issuance under our 2023 Equity Incentive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 FOR U.S.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the U.S. Holders, as defined below, of the acquisition, ownership and disposition of our Class A ordinary shares that are registered pursuant to this offering. It does not describe all tax considerations that may be relevant to a particular person’s decision to acquire our Class A ordinary shares. This discussion applies only to a U.S. Holder that purchases our Class A ordinary shares registered in this offering and that holds such Class A ordinary shares as “capital assets” within the meaning of Section 1221 of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this discussion applies only to such Class A ordinary shares. This discussion is general in nature, and it does not describe all of the U.S. federal income tax consequences that may be relevant in light of the U.S. Holder’s particular circumstances, including the potential application of the Medicare contribution tax and estate or gift tax consequences, any tax consequences other than U.S. federal income tax consequences, and any tax consequences applicable to U.S. Holders subject to special rules, such as:</w:t>
      </w:r>
    </w:p>
    <w:p>
      <w:pPr>
        <w:spacing w:after="0" w:line="19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holders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 financial services entities and 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real estate investment trusts, real estate mortgage investment conduits;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ordinary shares as part of a hedging transaction, straddle, wash sale, conversion transaction or other integrated transaction or persons entering into a constructive sale with respect to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or other pass-through entities, and investors in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persons or entities, including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an “individual retirement account” or “Roth IRA”;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directly or indirectly acquiring Class A ordinary shares in connection with the performance of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Section 451(b)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Class A ordinary shares on behalf of other persons as nominees;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five percent or more of our Class A ordinary shares (by vote or value), including the shares that are subject to this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ordinary shares in connection with a trade or business conducted outside of the United States.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If an entity (or other arrangement) that is classified as a partnership for U.S. federal income tax purposes holds Class A ordinary shares, the U.S. federal income tax treatment of a partner thereof will generally depend on the status of the partner and the activities of the partner and the partnership. Partnerships holding Class A ordinary shares and partners in such partnerships should consult their tax advisers as to the particular U.S. federal income tax consequences of owning and disposing of Class A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is a holder that, for U.S. federal income tax purposes, is a beneficial owner of Class A ordinary shares and that is: (1) an individual citizen or resident of the United States; (2) a corporation (or other entity treated as a corporation for U.S. federal income tax purposes) that is created or organized (or treated as created or organized) in or under the laws of the United States, any state thereof or the District of Columbia; (3) an estate, the income of which is subject to U.S. federal income taxation regardless of its source; or (4) a trust if either (A) a court within the United States is able to exercise primary supervision over the administration of the trust and one or more U.S. persons have the authority to control all substantial decisions of the trust, or</w:t>
      </w:r>
    </w:p>
    <w:p>
      <w:pPr>
        <w:spacing w:after="0" w:line="3" w:lineRule="exact"/>
        <w:rPr>
          <w:sz w:val="20"/>
          <w:szCs w:val="20"/>
          <w:color w:val="auto"/>
        </w:rPr>
      </w:pPr>
    </w:p>
    <w:p>
      <w:pPr>
        <w:ind w:firstLine="8"/>
        <w:spacing w:after="0" w:line="260"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a valid election in effect under applicable Treasury Regulations to be treated as a “United States person” (as defined in Section 7701(a)(30) of the Code, a “U.S. person”).</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IS FOR GENERAL INFORMATION PURPOSES ONLY, AND IS NOT INTENDED TO BE, AND SHOULD NOT BE CONSTRUED TO BE, LEGAL OR TAX ADVICE TO ANY PARTICULAR HOLDER. EACH PROSPECTIVE INVESTOR IN OUR CLASS A ORDINARY SHARES IS URGED TO CONSULT ITS OWN TAX ADVISOR WITH REGARD TO THE APPLICATION OF THE U.S. FEDERAL INCOME TAX LAWS, AS WELL AS THE APPLICATION OF U.S. NON-INCOME TAX LAWS AND THE LAWS OF ANY STATE, LOCAL OR NON-U.S. JURISDICTION TO THE ACQUISITION, OWNERSHIP AND DISPOSITION OF OUR CLASS A ORDINARY SHARES, IN LIGHT OF THEIR PARTICULAR SITUATION.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under “Dividend Policy,” we do not expect to make distributions on our Class A ordinary shares in the near future. In the event that we do make distributions of cash or other property, subject to the rules under “–Passive Foreign Investment Company Rules” described below, distributions paid on our Class A ordinary shares will generally be treated as “dividends” to the extent paid out of our current or accumulated earnings and profits (each as determined under U.S. federal income tax principles). Because we do not maintain calculations of our earnings and profits under U.S. federal income tax principles, we expect that distributions (if any) generally will be reported to U.S. Holders as dividends.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tax laws currently in effect and subject to certain exceptions (including, but not limited to, dividends treated as investment income for purposes of investment interest deduction limitations), a non-corporate recipient of a dividend from a “qualified foreign corporation” will generally be subject to tax on the dividend income at the lower applicable net capital gains rate rather than the marginal tax rates generally applicable to Class A ordinary income, provided that certain holding period and other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which is readily tradable on an established securities market in the United States. There is no such comprehensive tax treaty between the United States and the Cayman Islands currently in effect. However,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if and for so long as our Class A ordinary shares are listed on an established securities market in the United States,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In the case of a corporate U.S. Holder, dividends paid by us will be taxable to such U.S. Holder at the regular corporate rate and will not be eligible for the dividends-received deduction generally allowed to domestic corporations in respect of dividends received from other domestic corporations.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rules under “–Passive Foreign Investment Company Rules” described below, the amount of the dividend will be treated as foreign-source dividend income to U.S. Holders and will be included in a U.S. Holder’s income on the date of the U.S. Holder’s receipt of the dividend.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or Other Taxable Disposition of Class A Ordinary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rules under “–Passive Foreign Investment Company Rules” described below, gain or loss realized on the sale or other taxable disposition of Class A ordinary shares will be capital gain or loss, and will be long-term capital gain or loss if the U.S. Holder held the Class A ordinary shares for more than one year. The amount of the gain or loss will equal the difference between the U.S. Holder’s tax basis in the Class A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Code, we may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prior to the Business Combination, our financial statements, our expectations about the nature and amount of our income, assets and activities during our taxable year ending December 31, 2023, we expect to be a PFIC for our taxable year ending December 31, 2023. However, based on the nature of our business after the Business Combination, our financial statements, our expectations about the nature and amount of our income, assets and activities following the Business Combination, we do not expect to be a PFIC for our taxable year ending December 31, 2024. Whether we will be a PFIC in 2023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Accordingly, there can be no assurance that we will not be a PFIC in 2024 or any future taxable year. If we are a PFIC for any year during which a U.S. Holder holds Class A ordinary shares, we generally would continue to be treated as a PFIC with respect to that U.S. Holder for all succeeding years during which the U.S. Holder holds Class A ordinary shares, even if we ceased to meet the threshold requirements for PFIC status, unless in the case of the Class A ordinary shares, the U.S. Holder makes a valid deemed sale or deemed dividend election under the applicable Treasury regulations.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Generally, if we were a PFIC for any taxable year during which a U.S. Holder held Class A ordinary shares, gain recognized by a U.S. Holder on a sale or other disposition (including certain pledges) of such Class A ordinary shares, would be allocated ratably over the U.S. Holder’s holding period for such Class A ordinary shares. The amounts allocated to the taxable year of the sale or other disposition and to any year before we became a PFIC would be taxed as Class A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Class A ordinary shares exceeds 125% of the average of the annual distributions on the Class A ordinary shares received during the preceding three years or the U.S. Holder’s holding period, whichever is shorter, that distribution (an “excess distribution”) would be subject to taxation in the same manner as gain, described immediately above.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Class A ordinary shares, provided that the Class A ordinary shares are “marketable.” Class A ordinary shares will be marketable if they are “regularly traded” on a “qualified exchange” or other market within the meaning of applicable Treasury regulations. If a U.S. Holder makes the mark-to-market election, it generally will recognize as Class A ordinary income any excess of the fair market value of the Class A ordinary shares at the end of each taxable year over their adjusted tax basis, and will recognize an Class A ordinary loss in respect of any excess of the adjusted tax basis of the Class A ordinary shares over their fair market value at the end of the taxable year (but only to the extent of the net amount of income previously included as a result of the mark-to-market election). If a U.S. Holder makes the election, the U.S. Holder’s tax basis in the Class A ordinary shares will be adjusted to reflect the income or loss amounts recognized. Any gain recognized on the sale or other disposition of Class A ordinary shares, as applicable, in a year when we are a PFIC will be treated as Class A ordinary income and any loss will be treated as an Class A ordinary loss (but only to the extent of the net amount of income previously included as a result of the mark-to-market election). U.S. Holders should consult their tax advisers regarding the availability and advisability of making a mark-to-market election in their particular circumstances.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in order to avoid the application of the foregoing rules, a U.S. person that owns stock in a PFIC for U.S. federal income tax purposes may make a qualified electing fund (“</w:t>
      </w:r>
      <w:r>
        <w:rPr>
          <w:rFonts w:ascii="Times New Roman" w:cs="Times New Roman" w:eastAsia="Times New Roman" w:hAnsi="Times New Roman"/>
          <w:sz w:val="18"/>
          <w:szCs w:val="18"/>
          <w:b w:val="1"/>
          <w:bCs w:val="1"/>
          <w:i w:val="1"/>
          <w:iCs w:val="1"/>
          <w:color w:val="auto"/>
        </w:rPr>
        <w:t>QEF</w:t>
      </w:r>
      <w:r>
        <w:rPr>
          <w:rFonts w:ascii="Times New Roman" w:cs="Times New Roman" w:eastAsia="Times New Roman" w:hAnsi="Times New Roman"/>
          <w:sz w:val="18"/>
          <w:szCs w:val="18"/>
          <w:color w:val="auto"/>
        </w:rPr>
        <w:t>”) election with respect to such PFIC, and each PFIC in which the PFIC holds equity interests, if the PFIC provides the information necessary for such election to be made. If we determine we are a PFIC for any taxable year, we will endeavor to provide to a U.S. Holder such information as the Service may require, including a PFIC Annual Information Statement in order to enable the U.S. Holder to make and maintain a “qualified electing fund” election, but there can be no assurance that we will timely provide such required information.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 charge. If a U.S. person makes a QEF election with respect to a PFIC, the U.S. person will be currently taxable on its pro rata share of the PFIC’s Class A ordinary earnings and net capital gain (at Class A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in respect of our Class A ordinary shares, any distributions paid by us out of our earnings and profits that were previously included in the U.S. Holder’s income under the QEF election will not be taxable to the U.S. Holder. A U.S. Holder will increase its tax basis in its Class A ordinary shares by an amount equal to any income included under the QEF election and will decrease its tax basis by any amount distributed, if any, on the Class A ordinary shares that is not included in its income. In addition, a U.S. Holder will recognize capital gain or loss on the disposition of Class A ordinary shares in an amount equal to the difference between the amount realized and its adjusted tax basis in our Class A ordinary shares. U.S. Holders should note that if they make QEF elections with respect to us, they may be required to pay U.S. federal income tax with respect to their Class A ordinary shares for any taxable year significantly in excess of any cash distributions, if any, received on the Class A ordinary shares, as applicable, for such taxable year. U.S. Holders should consult their tax advisers regarding making QEF elections in their particular circumstances.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U.S. Holder owns Class A ordinary shares during any year in which we are a PFIC, the U.S. Holder generally must file annual reports, containing such information as the U.S. Treasury Department may require on IRS Form 8621 (or any successor form) with respect to us, generally with the U.S. Holder’s federal income tax return for that year, unless otherwise specified in the instructions with respect to such form. U.S. Holders should consult their tax advisors regarding the PFIC reporting requirements with respect to their Class A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Class A ordinary shares, the consequences to them of an investment in a PFIC, any elections available with respect to the Class A ordinary shares and the Service information reporting obligations with respect to the purchase, ownership and disposition of Class A ordinary shares of a PFIC.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With Respect to Foreign Financial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investment in our Class A ordinary shares, subject to certain exceptions (including an exception for Class A ordinary shares held in accounts maintained by certain U.S. financial institutions). U.S. Holders should consult their tax advisers regarding whether or not they are obligated to report information relating to their ownership and disposition of Class A ordinary shares.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Roth under which we may issue and sell Class A ordinary shares from time to time, subject to the conditions of the Sales Agreement, in an amount up to $4.485 million through or to Roth, acting as sales agent or principal (subject to compliance with Regulation M). Sales of our Class A ordinary shares, if any, under this prospectus supplement and the accompanying prospectus will be made at market prices by any method deemed to be an “at the market offering” as defined in Rule 415(a)(4) under the Securities Act.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time that we wish to issue and sell our Class A ordinary shares under the Sales Agreement, we will provide Roth with a placement notice describing the amount of Class A ordinary shares to be sold, the time period during which sales are requested to be made, any limitation on the amount of Class A ordinary shares that may be sold in any single day, any minimum price below which sales may not be made or any minimum price requested for sales in a given time period and any other instructions relevant to such requested sales. Upon receipt of a placement notice, Roth, acting as our sales agent, will use commercially reasonable efforts, consistent with its normal trading and sales practices and applicable state and federal laws, rules and regulations and the rules of the Nasdaq Capital Market, to sell our Class A ordinary shares under the terms and subject to the conditions of the placement notice and the Sales Agreement. We or Roth may suspend the offering of Class A ordinary shares pursuant to a placement notice upon notice and subject to other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for sales of Class A ordinary shares will occur, unless the parties agree otherwise, on the first business day that is also a trading day following the date on which any sales were made in return for payment of the net proceeds to us. There are no arrangements to place any of the proceeds of this offering in an escrow, trust or similar account. Sales of our Class A ordinary shares as contemplated in this prospectus supplement and the accompanying prospectus will be settled through the facilities of The Depository Trust Company or by such other means as we and Roth may agree upon.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Roth commissions for its services in acting as our sales agent in the sale of our Class A ordinary shares pursuant to the Sales Agreement. Roth will be entitled to compensation at a fixed commission rate of 3.0% of the gross proceeds from the sale of our Class A ordinary shares on our behalf pursuant to the Sales Agreement. We have agreed to reimburse Roth for its reasonable and documented out-of-pocket expenses (including but not limited to the reasonable and documented fees and expenses of its legal counsel) in an amount up to $40,000 in connection with entering into the Sales Agreement and for Roth’s reasonable and documented out-of-pocket expenses related to quarterly maintenance of the Sales Agreement (including but not limited to the reasonable and documented fees and expenses of its legal counsel) on a quarterly basis in an amount up to $5,000.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for this offering, excluding compensation payable to Roth and certain expenses reimbursable to Roth under the terms of the Sales Agreement, will be approximately $150,000. The remaining sales proceeds, after deducting any expenses payable by us and any transaction fees imposed by any governmental, regulatory, or self-regulatory organization in connection with the sales, will equal our net proceeds for the sale of such Class A ordinary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there are no minimum sale requirements as a condition to this offering, the actual total public offering price, commissions and net proceeds to us, if any, are not determinable at this time. The actual dollar amount and shares of our Class A ordinary shares we sell through this prospectus supplement and the accompanying prospectus will be dependent, among other things, on market conditions and our capital raising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Class A ordinary shares on our behalf, Roth will be deemed to be an “underwriter” within the meaning of the Securities Act, and the compensation of Roth will be deemed to be underwriting commissions or discounts. We have agreed to provide indemnification and contribution to Roth against certain civil liabilities, including liabilities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Roth will not engage in any market making activities involving our Class A ordinary shares while the offering is ongoing under this prospectus supplement if such activity would be prohibited under Regulation M or other anti-manipulation rules under the Securities Act. As our sales agent, Roth will not engage in any transactions that stabilizes our Class A ordinary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pursuant to the Sales Agreement will terminate upon the earlier of (i) the sale of all of our Class A ordinary shares subject to the Sales Agreement and (ii) termination of the Sales Agreement as permitted therein. We may terminate the Sales Agreement in our sole discretion at any time by giving five days’ prior notice to Roth. Roth may terminate the Sales Agreement under the circumstances specified in the Sales Agreement and in its sole discretion at any time by giving five days’ prior notice to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hereto and is incorporated by reference in this prospectus supplement and in the registration statement of which this prospectus supplement forms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Roth and/or its affiliates may in the future provide, various investment banking and other financial services for us, for which services they may in the future receive customary fees. This prospectus supplement and the accompanying prospectus in electronic format may be made available on a website maintained by Roth, and Roth may distribute this prospectus supplement and the accompany prospectus electronically.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our Class A ordinary shares and certain legal matters as to Cayman Islands law will be passed upon for us by Maples &amp; Calder (Cayman)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and for the fiscal years ended March 31, 2025 and March 31, 2024 have been incorporated by reference in this prospectus supplement and in this registration statement in reliance upon the report of Manohar &amp; Chowdhry Associates, independent registered public accounting firm, on its audit of our financial statements given on authority of this firm as expert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reports, quarterly reports and current reports, proxy statements and other information with the Securities and Exchange Commission (the “SEC”). You can read our SEC filings, including the registration statement, at the SEC’s website at www.sec.gov, which contains reports, proxy and information statements and other information regarding issuers that file electronically with the SEC. Our web site is located at www.aeriestechnology.com. The information contained on, or that may be obtained from, our website is not, and shall not be deemed to be, a part of this prospectus supplement.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you, including any beneficial owner to whom this prospectus supplement is delivered, a copy of any or all of the documents incorporated herein by reference other than the exhibits to those documents, unless the exhibits are specifically incorporated by reference into the information that this prospectus incorporates. You should direct a request for copies to Aeries Technology, 60 Paya Lebar Road, #08-13, Paya Lebar Square, Singapore 409051; Telephone: (919) 228-6404.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to another document. The information incorporated by reference is considered to be part of this prospectus supplement. Information in this prospectus supplement supersedes information incorporated by reference that we filed with the SEC prior to the date of this prospectus supplement.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and the registration statement of which this prospectus supplement is a part the information or documents listed below that we have filed with the SEC:</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2025 filed with the SEC on July 2, 2025;</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auto"/>
          </w:rPr>
          <w:t xml:space="preserve">Quarterly Reports on Form 10-Q for the quarter ended </w:t>
        </w:r>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color w:val="auto"/>
          </w:rPr>
          <w:t xml:space="preserve"> filed with the SEC on August 14, 2025 and for the quarter ended </w:t>
        </w:r>
        <w:r>
          <w:rPr>
            <w:rFonts w:ascii="Times New Roman" w:cs="Times New Roman" w:eastAsia="Times New Roman" w:hAnsi="Times New Roman"/>
            <w:sz w:val="18"/>
            <w:szCs w:val="18"/>
            <w:u w:val="single" w:color="auto"/>
            <w:color w:val="0000EE"/>
          </w:rPr>
          <w:t>September</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30, 2025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November 10, 2025;</w:t>
        </w:r>
      </w:hyperlink>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9">
        <w:r>
          <w:rPr>
            <w:rFonts w:ascii="Times New Roman" w:cs="Times New Roman" w:eastAsia="Times New Roman" w:hAnsi="Times New Roman"/>
            <w:sz w:val="18"/>
            <w:szCs w:val="18"/>
            <w:u w:val="single" w:color="auto"/>
            <w:color w:val="0000EE"/>
          </w:rPr>
          <w:t>April 2,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June 25,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July 17, 2025</w:t>
        </w:r>
      </w:hyperlink>
      <w:r>
        <w:rPr>
          <w:rFonts w:ascii="Times New Roman" w:cs="Times New Roman" w:eastAsia="Times New Roman" w:hAnsi="Times New Roman"/>
          <w:sz w:val="18"/>
          <w:szCs w:val="18"/>
          <w:color w:val="auto"/>
        </w:rPr>
        <w:t>,</w:t>
      </w:r>
      <w:hyperlink r:id="rId42">
        <w:r>
          <w:rPr>
            <w:rFonts w:ascii="Times New Roman" w:cs="Times New Roman" w:eastAsia="Times New Roman" w:hAnsi="Times New Roman"/>
            <w:sz w:val="18"/>
            <w:szCs w:val="18"/>
            <w:u w:val="single" w:color="auto"/>
            <w:color w:val="0000EE"/>
          </w:rPr>
          <w:t>September 16,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included under Item 7.01 and in Exhibit 99.1 therein), </w:t>
      </w:r>
      <w:hyperlink r:id="rId43">
        <w:r>
          <w:rPr>
            <w:rFonts w:ascii="Times New Roman" w:cs="Times New Roman" w:eastAsia="Times New Roman" w:hAnsi="Times New Roman"/>
            <w:sz w:val="18"/>
            <w:szCs w:val="18"/>
            <w:u w:val="single" w:color="auto"/>
            <w:color w:val="0000EE"/>
          </w:rPr>
          <w:t>October 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4">
        <w:r>
          <w:rPr>
            <w:rFonts w:ascii="Times New Roman" w:cs="Times New Roman" w:eastAsia="Times New Roman" w:hAnsi="Times New Roman"/>
            <w:sz w:val="18"/>
            <w:szCs w:val="18"/>
            <w:u w:val="single" w:color="auto"/>
            <w:color w:val="0000EE"/>
          </w:rPr>
          <w:t>October 3, 2025</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A ordinary shares contained in the Registration Statement on </w:t>
      </w:r>
      <w:hyperlink r:id="rId4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on October 18, 2021, under Section 12(g) of the Exchange Act,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on or after the date of the initial filing of the registration statement of which this prospectus supplement is a part and prior to effectiveness of such registration statement,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will furnish without charge to you, on written or oral request, a copy of any or all of the documents incorporated by reference, including exhibits to these documents. You should direct any requests for documents to Aeries Technology, 60 Paya Lebar Road, #08-13, Paya Lebar Square, Singapore 409051; Telephone: (919) 228-6404. Copies of the above reports may also be accessed from our web site at </w:t>
      </w:r>
      <w:r>
        <w:rPr>
          <w:rFonts w:ascii="Times New Roman" w:cs="Times New Roman" w:eastAsia="Times New Roman" w:hAnsi="Times New Roman"/>
          <w:sz w:val="18"/>
          <w:szCs w:val="18"/>
          <w:i w:val="1"/>
          <w:iCs w:val="1"/>
          <w:color w:val="auto"/>
        </w:rPr>
        <w:t>www.aeriestechnology.com</w:t>
      </w:r>
      <w:r>
        <w:rPr>
          <w:rFonts w:ascii="Times New Roman" w:cs="Times New Roman" w:eastAsia="Times New Roman" w:hAnsi="Times New Roman"/>
          <w:sz w:val="18"/>
          <w:szCs w:val="18"/>
          <w:color w:val="auto"/>
        </w:rPr>
        <w:t>. We have authorized no one to provide you with any information that differs from that contained in this prospectus supplement. Accordingly, you should not rely on any information that is not contained or incorporated by reference in this prospectus supplement. You should not assume that the information in this prospectus is accurate as of any date other than the date of the front cover of this prospectus supplement.</w:t>
      </w:r>
    </w:p>
    <w:p>
      <w:pPr>
        <w:spacing w:after="0" w:line="18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which also is or is deemed to be incorporated by reference in this prospectus supplement modifies or supersedes that statement. Any statement that is modified or superseded will not constitute a part of this prospectus supplement, except as modified or superseded.</w:t>
      </w:r>
    </w:p>
    <w:p>
      <w:pPr>
        <w:spacing w:after="0" w:line="28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156845</wp:posOffset>
            </wp:positionV>
            <wp:extent cx="1885950"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8859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Preference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Class A ordinary shares, preference shares, debt securities, warrants and units that Aeries Technology, Inc. may sell from time to time in one or more offerings on terms to be determined at the time of sale. We refer to the Class A ordinary shares, preference shares, debt securities, warrants and units collectively as the “securities.” We will provide specific terms of these securities in supplements to this prospectus. You should read this prospectus and any supplement carefully before you invest. This prospectus may not be used to offer and sell securities unless accompanied by a prospectus supplement for those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trade on The Nasdaq Capital Market (“Nasdaq”) under the symbol “AERT.” On November 26, 2025, the last reported sale price for our Class A ordinary shares was $0.5674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October 1, 2025, the aggregate market value of our outstanding Class A ordinary shares held by non-affiliates was approximately $13,466,498, which was calculated based on 48,353,810 outstanding Class A ordinary shares, of which 12,242,271 shares are held by non-affiliates, and the last reported sale price of our Class A ordinary shares of $1.10 per share on August 14, 2025. Pursuant to General Instruction I.B.6 of Form S-3, in no event will we sell securities in a public primary offering with a value exceeding more than one-third of our public float in any 12-month period so long as our public float remains below $75,000,000. As of the date of this prospectus, we have not sold any securities pursuant to General Instruction 1.B.6 of Form S-3 during the 12-calendar month period that ends on and includes the date hereof.</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REVIEW CAREFULLY THE RISKS AND UNCERTAINTIES DESCRIBED UNDER THE HEADING “RISK FACTORS” CONTAINED IN THE APPLICABLE PROSPECTUS SUPPLEMENT AND ANY RELATED FREE WRITING PROSPECTUS, AND UNDER SIMILAR HEADINGS IN OTHER DOCUMENTS THAT ARE INCORPORATED BY REFERENCE INTO THIS PROSPECTUS OR ANY SUCH PROSPECTUS SUPPLEMENT. SEE “RISK FACTORS” ON PAGE 7 OF THIS PROSPECTUS.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46"/>
        </w:trPr>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240" w:type="dxa"/>
            <w:vAlign w:val="bottom"/>
            <w:tcBorders>
              <w:bottom w:val="single" w:sz="8" w:color="0000EE"/>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2"/>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60" w:type="dxa"/>
            <w:vAlign w:val="bottom"/>
            <w:tcBorders>
              <w:top w:val="single" w:sz="8" w:color="CCEEFF"/>
            </w:tcBorders>
            <w:gridSpan w:val="1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OUR CLASS A ORDINARY SHARES</w:t>
            </w:r>
          </w:p>
        </w:tc>
        <w:tc>
          <w:tcPr>
            <w:tcW w:w="58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PREFERENCE SHARES WE MAY OFFER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44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 WE MAY OFFER</w:t>
            </w:r>
          </w:p>
        </w:tc>
        <w:tc>
          <w:tcPr>
            <w:tcW w:w="584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2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PROVISIONS OF CAYMAN ISLANDS LAW AND OF THE COMPANY’S AMENDED AND RESTATED</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08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MEMORANDUM AND ARTICLES OF ASSOCIATION</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102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utilizing a “shelf” registration process. Under this shelf process, we may from time to time sell any combination of securities described in this prospectus in one or more offerings.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under this shelf registration process, we will provide a prospectus supplement that will contain specific information about the terms of the securities being offered. That prospectus supplement may include a discussion of any risk factors or other special considerations that apply to those securities.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any applicable prospectus supplement together with additional information described below under the headings “Where You Can Find More Information” and “Incorporation by Reference.”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acquiring any securities discussed in this prospectus, you should rely on the information provided in this prospectus and the prospectus supplement, including the information incorporated by reference. Neither we, nor any underwriters or agents, have authorized anyone to provide you with different information. We are not offering the securities in any state where such an offer is prohibited. You should not assume that the information in this prospectus, any prospectus supplement, or any document incorporated by reference, is truthful or complete at any date other than the date mentioned on the cover page of those documents. You should also carefully review the section entitled “Risk Factors”, which highlights certain risks associated with an investment in our securities, to determine whether an investment in our securities is appropriate for you.</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to “Aeries,” “Aeries Technology,” “ATI,” the “Company,” “we,” “us” or “our” are to Aeries Technology, Inc. and its subsidiaries.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the statements contained in this prospectus and/or incorporated by reference into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“will,” “would” and similar expressions may identify forward-looking statements, but the absence of these words does not mean that a statement is not forward-looking. Such statements are based on expectations as to the future and are not statements of historical fact.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 following factors, among others, could cause actual results and the timing of events to differ materially from the anticipated results or other expectations expressed in the forward-looking statements:</w:t>
      </w:r>
    </w:p>
    <w:p>
      <w:pPr>
        <w:spacing w:after="0" w:line="18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Class A ordinary shares and the warrants on Nasdaq, and the potential liquidity and trading of such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development efforts to maximize our potential value and to retain and expand our customer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operating expenses and capital expenditure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officers, key employees or directors, or any necessary changes to these positions;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 the United States and foreign jurisdictions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effective internal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cybersecurity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use of artificial intelligence, machine learning, and other emerging technologies, including their integration into our operations and potential regulatory, ethical, and reputational impacts;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or future litigation, regulatory inquiries, or governmental investigations;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the effects of the Russia-Ukraine and the Israel-Hamas conflicts, pandemics such as the COVID-19 outbreak, recessions, interest rates, inflation, local and national elections, fuel prices, international currency fluctuations, changes in diplomatic and trade relationships, political instability, acts of war or terrorism and natural disasters;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this prospectus and our other filings with the Securities and Exchange Commission.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be amplified in the future and there may be additional risks that we currently consider immaterial or which are unknown. It is not possible to predict or identify all such risks.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to reflect events or circumstances after the date of this prospectus or to reflect the occurrence of unanticipated events, except as required by applicable law. You should not place undue reliance on forward-looking statements, which speak only as of the date they are made.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Aeries Technology is a global provider of professional and technology consulting services, to portfolio companies of private equity firms and middle-market companies, specializing in the design, set-up and management of Global Capability Centers (“GCCs”) for our clients. Our offerings are designed to provide a mix of deep vertical specialty, functional expertise, and digital systems and solutions offering end-to-end coverage for the entire GCC lifecycle to scale, optimize and transform a client’s business operations. By leveraging artificial intelligence (“AI”), implementing process improvements, and recruiting talent in cost-effective geographies, we are positioned to deliver significant cost savings to our clients. With over a decade of experience, we are committed to delivering transformative business solutions that drive operational efficiency, innovation, and strategic growth, to positively impact value creation for our clients.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solutions are purpose-built to help our clients unlock business value—enhancing revenue growth through accelerated innovation and improved customer experience, while also driving operating efficiency through optimized cost structures and scalable delivery. Aeries-built GCCs serve as strategic platforms through which clients can adopt and embed the latest technologies, including AI, advanced analytics, and modern enterprise tools and practices. Clients maintain strategic oversight and operational control, with the flexibility to adapt GCC ownership structures as business needs evolve. Through our integrated model, Aeries enables organizations to move faster, serve customers better, and build long-term enterprise value.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support and drive our clients’ global growth by providing a range of services, including professional advisory services and operations management services, to build and manage GCCs in suitable and cost-effective locations based on client business needs. With a focus towards digital enterprise enablement, these GCCs are designed to act as seamless extensions of the client organization, providing access to top-tier resources. We believe this empowers our clients to remain competitive and nimble and to achieve their goals of enduring cost efficiencies, operational excellence, and value creation, without sacrificing functional control and flexibility.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advisory services involve the active participation of senior leadership, recommending strategies and best practices related to operating model design, consultation on various areas, market availability for resources with appropriate skillsets required for specific roles contemplated in the service model, regulatory compliance, optimization of tax structure, and more. Our clients can customize the services based on options we provide, and we subsequently firm up the execution plan with the clients.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aspect of our service is our focus on digital transformation. We aim to leverage cutting-edge technologies, including AI, to drive innovation and streamline operations. Our technology services are designed to enhance decision-making, automate processes, and deliver significant business value. We believe this approach through GCC set-up improves operational efficiencies, enabling us to deliver digital transformation services that align with our clients’ growth strategies and support their competitiveness in an evolving digital landscape.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clients also use our services to manage their organizational operations, including software development, information technology, data analytics, cybersecurity, finance, human resources, customer service and operations. We hire appropriate talent and personnel on our payroll for deployment on client operations. We work with our clients collaboratively to select the appropriate candidates and create functional alignment with the clients’ organizations. While our talent becomes an extension of our clients’ team, Aeries continues to provide them with the opportunity for promotion, recognition and career path progression, which we believe results in higher employee satisfaction and lower voluntary attrition rates. We manage the regulatory, tax, recruiting, human resources compliance and branding for each of our GCCs.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model aims to create a more flexible and cost-effective talent pool for deployment on clients’ operations, while fostering innovation through strategic alignment at senior levels and visibility across the organization. The model also aims to insulate our clients from regulatory and tax issues and provides flexibility in scaling teams up or down based on their changing business needs. We are committed to delivering best practices and success factors by leveraging our visibility into successful strategies from multiple companies, addressing many of the deficiencies associated with the traditional outsourcing and offshoring models.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Aeries Technology, Inc. (formerly known as Worldwide Webb Acquisition Corp. or “WWAC”) was originally incorporated on March 5, 2021 for the purpose of effecting a merger, capital stock exchange, asset acquisition, stock purchase, reorganization or similar business combination with one or more businesses. On October 22, 2021, WWAC consummated an initial public offering (the “IPO”), after which its securities began trading on Nasdaq.</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6, 2023 (the “Closing Date”), Aark Singapore Pte. Ltd., a Singapore private company limited by shares (“AARK”), consummated a business combination pursuant to that certain Business Combination Agreement, dated as of March 11, 2023 (as amended, the “Business Combination Agreement”), by and among WWAC, WWAC Amalgamation Sub Pte. Ltd., a Singapore private company limited by shares and a direct wholly owned subsidiary of WWAC (“Amalgamation Sub”), and AARK. Pursuant to the Business Combination Agreement, Amalgamation Sub and AARK amalgamated and continued as one company, with AARK being the surviving entity, and as a result thereof, Aeries Technology Group Business Accelerators Pvt. Ltd., an Indian private company limited by shares became an indirect subsidiary of WWAC (the “Amalgamation” and, together with the other transactions contemplated by the Business Combination Agreement, the “Business Combination”).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changed our name from Worldwide Webb Acquisition Corp. to Aeries Technology, Inc. Following the Closing Date, we changed the trading symbols for our Class A ordinary shares and warrants to purchase Class A ordinary shares on Nasdaq from “WWAC” and “WWACW” to “AERT” and “AERTW,”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Status as a Cayman Islands Exempted Company and as a Public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Revised) of the Cayman Islands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Public Company Accounting Reform and Investor Protection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Section 107 of the Jumpstart Our Business Startups Act of 2012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the IPO in October 2021, (b) in which we have total annual gross revenue of at least $1.235 billion, or (c) in which we are deemed to be a large accelerated filer, which means the market value of our ordinary shares that are held by non-affiliates equals or exceeds $700 million as of the end of that year’s second fiscal quarter, and (2) the date on which we have issued more than $1 billion in non-convertible debt securities during the prior three-year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as long as (1) the market value of our ordinary shares held by non-affiliates is less than $250 million as of the end of a year’s second fiscal quarter, or (2) our annual revenues are less than $100 million during a completed fiscal year and the market value of our ordinary shares held by non-affiliates is less than $700 million as of the end of that year’s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60 Paya Lebar Road, #08-13, Paya Lebar Square, Singapore, and our telephone number at that location is 65 98416625. Our website address is </w:t>
      </w:r>
      <w:r>
        <w:rPr>
          <w:rFonts w:ascii="Times New Roman" w:cs="Times New Roman" w:eastAsia="Times New Roman" w:hAnsi="Times New Roman"/>
          <w:sz w:val="18"/>
          <w:szCs w:val="18"/>
          <w:i w:val="1"/>
          <w:iCs w:val="1"/>
          <w:color w:val="auto"/>
        </w:rPr>
        <w:t>https://aeriestechnology.com/</w:t>
      </w:r>
      <w:r>
        <w:rPr>
          <w:rFonts w:ascii="Times New Roman" w:cs="Times New Roman" w:eastAsia="Times New Roman" w:hAnsi="Times New Roman"/>
          <w:sz w:val="18"/>
          <w:szCs w:val="18"/>
          <w:color w:val="auto"/>
        </w:rPr>
        <w:t>. Information contained on our website is not a part of this prospectus, and the inclusion of our website address in this prospectus is an inactive textual reference only.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 factors described in our Annual Report on Form 10-K for our most recent fiscal year (together with any material changes thereto contained in subsequent filed Quarterly Reports on Form 10-Q and Current Reports on Form 8-K) and those contained in our other filings with the SEC, which are incorporated by reference in this prospectus and any accompanying prospectus supplement.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use the estimated net proceeds from the sale of these securities for working capital and general corporate purposes. Accordingly, our management will have significant discretion and flexibility in applying the net proceeds from the sale of these securities. Our plans to use the estimated net proceeds from the sale of these securities may change, and if they do, we will update this information in a prospectus supplement.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5" w:name="page36"/>
    <w:bookmarkEnd w:id="35"/>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include senior debt securities, subordinated debt securities and senior subordinated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for the purchase of debt securities, preference shares or Class A ordinary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two or more of the foregoing.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amended and restated memorandum and articles of association (“Memorandum and Articles of Association”), the Companies Act and the common law of the Cayman Islands. Pursuant to the Memorandum and Articles of Association, we are authorized to issue 500,000,000 Class A ordinary shares, $0.0001 par value each, one Class V ordinary share, $0.0001 par value each (the “Class V ordinary share” and together with the Class A ordinary shares, the “ordinary shares”), and 5,000,000 preference shares, $0.0001 par value each.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 forth below is a description of the Class A ordinary shares and preference shares that may be offered under this prospectus. We will set forth in the applicable prospectus supplement and/or free writing prospectus a description of the preference shares, debt securities and warrants that may be offered under this prospectus. The terms of the offering of our Class A ordinary shares, preference shares or any such other securities, the initial offering price and the net proceeds to us will be contained in the prospectus supplement, and other offering material, relating to such offer.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the securities being offered pursuant to this prospectus directly to purchasers, to or through underwriters, through dealers or agents, or through a combination of such methods. The prospectus supplement with respect to the securities being offered will set forth the terms of the offering of those securities, including the names of any such underwriters, dealers or agents, the purchase price, the net proceeds to us, any underwriting discounts and other items constituting underwriters’ compensation, the initial public offering price, any discounts or concessions allowed or reallowed or paid to dealers and any securities exchanges on which such securities may be listed.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CLASS A 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Class A ordinary shares as set out more particularly in the Memorandum and Articles of Association. The description is intended as a summary, and is qualified in its entirety by reference to our Memorandum and Articles of Association, which has been publicly filed with the SEC. See the section entitled “Where You Can Find More Information” and “Incorporation of Documents by Reference” contained elsewhere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Class A ordinary shareholders of record are entitled to one vote for each share held on all matters to be voted on by shareholders and vote together as a single class, except as required by law. Unless specified in the Companies Act, our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Memorandum and Articles of Association. Such actions include amending our Memorandum and Articles of Association and approving a statutory merger or consolidation with another company. Directors are appointed for a term of one year. There is no cumulative voting with respect to the appointment of directors, with the result that the holders of more than 50% of the ordinary shares voted for the appointment of directors can appoint all of the directors. Holders of Class A ordinary shares are entitled to receive ratable dividends when, as and if declared by the board of directors out of funds legally available therefor.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our holders of Class A ordinary shares at such time will be entitled to share ratably in all assets remaining available for distribution to them after payment of liabilities and after provision is made for each class of shares, if any, having preference over the Class A ordinary shares. Our ordinary shareholders have no preemptive or other subscription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applicable to the ordinary shares.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Class V ordinary share was issued to NewGen Advisors and Consultants DWC-LLC, a company incorporated in Dubai, United Arab Emirates with limited liability under registration No. 8754 (the “Class V Shareholder”). The Class V Shareholder may not transfer such share to any transferee and any attempted transfer of the Class V ordinary share will be void. The Class V Shareholder will vote together as a single class with holders of our Class A ordinary shares on all matters properly submitted to a vote of the shareholders. The Class V ordinary share has voting rights equal to (1) 26.0% of the total issued and outstanding Class A ordinary shares and Class V ordinary share voting together as a single class (subject to a proportionate reduction in voting power in connection with the exchange by Mr. Kumar of the AARK ordinary shares for Class A ordinary shares pursuant to the applicable Exchange Agreement); provided, however, that such proportionate reduction will not affect the voting rights of the Class V ordinary share in the event of (i) a threatened or actual Hostile Change of Control (as defined in the Business Combination Agreement) and/or (ii) the appointment and removal of a director on the Board (collectively, the “Extraordinary Events”), and (2) in these circumstances, including the threat of a hostile change of control of Aeries, 51% of the total issued and outstanding Class A ordinary shares and Class V ordinary share voting together as a class. In addition, after the Business Combination, the Class V Shareholder, voting as a separate class, is entitled to approve any amendment, alteration or repeal of any provision of our Memorandum and Articles of Association that would alter or change the powers, preferences or relative, participating, optional or other or special rights of the Class V ordinary share. The Class V Shareholder is not entitled to any dividends from us and is not entitled to receive any of our assets in the event of any voluntary or involuntary liquidation, dissolution or winding up of our affairs.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exchange of certain AARK ordinary shares by Mr. Kumar of AARK ordinary shares for Class A ordinary shares, the number of votes represented by the sole Class V ordinary share was reduced from 51.0% to 1.3% of all votes attached to the total issued and outstanding Class A ordinary shares and the Class V ordinary share; however, this reduction will not affect the voting rights of the Class V ordinary share in the Extraordinary Events as described above.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shall be entered therein:</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are attached to the share in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for the foreseeable future. The payment of cash dividends in the future will be dependent upon our revenues and earnings, if any, capital requirements and general financial condition. The payment of any cash dividends will be within the discretion of our board of directors at such time. Further, if we incur any indebtedness, our ability to declare dividends may be limited by restrictive covenants we may agree to in connection therewith.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Class A ordinary shares is Continental Stock Transfer,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10004-1571.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ordinary shares are listed on Nasdaq under the symbol “AERT”.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PREFERENCE SHARES WE MAY OFFER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preference shares as set out more particularly in the Memorandum and Articles of Association. The description is intended as a summary, and is qualified in its entirety by reference to our Memorandum and Articles of Association, which has been publicly filed with the SEC. See the section entitled “Where You Can Find More Information” and “Incorporation of Documents by Reference” contained elsewhere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Preference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Memorandum and Articles of Association authorizes 5,000,000 preference shares and provides that preference shares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Terms of a Series of Preference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preference shares we may offer under this prospectus will be issued in one or more series. A prospectus supplement will discuss, where applicable, the following features of the series of preference shares to which it related:</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nominal value of the preference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preference shares we are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preference share,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per preference share (or if applicable, the calculation formula of the issue price per preference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preferential subscription rights will be issued to existing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preference share, dividend period and payment dates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preference shares as to dividend rights (preferred dividend if any) and rights if we liquidate, dissolve or wind up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preference shares on any securities exchange or market;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preference shares will be convertible into our ordinary shares or preference shares of another category, and, if applicable, conditions of an automatic conversion into ordinary shares, if any, the conversion period, the conversion price, or how such price will be calculated, and under what circumstances it may be adjusted;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preference shares;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on transfer, sale or assignment, if 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Cayman Islands or United States federal income tax considerations applicable to the preference shares;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preference shares ranking senior to or on a parity with the series of preference shares being issued as to dividend rights and rights if we liquidate, dissolve or wind up our affairs;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attached to the preference shares regarding the corporate governance of our company, which may include, for example representation rights to the board of directors; and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preference shares.</w:t>
      </w:r>
    </w:p>
    <w:p>
      <w:pPr>
        <w:spacing w:after="0" w:line="3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9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that we may issue will constitute debentures, notes, bonds or other evidences of indebtedness of Aeries, to be issued in one or more series, which may include senior debt securities, subordinated debt securities and senior subordinated debt securities. The particular terms of any series of debt securities we offer, including the extent to which the general terms set forth below may be applicable to a particular series, will be described in a prospectus supplement relating to such series.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securities that we may issue will be issued under an indenture between us and a trustee qualified to act as such under the Trust Indenture Act of 1939. We have filed the form of the indenture as an exhibit to the registration statement of which this prospectus is a part. When we refer to the “indenture” in this prospectus, we are referring to the indenture under which the debt securities are issued as supplemented by any supplemental indenture applicable to the debt securities. We will provide the name of the trustee in any prospectus supplement related to the issuance of debt securities, and we will also provide certain other information related to the trustee, including describing any relationship we have with the trustee, in such prospectus supplement.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INDENTURE. IT DOES NOT RESTATE THE INDENTURE IN ITS ENTIRETY. THE INDENTURE IS GOVERNED BY THE TRUST INDENTURE ACT OF 1939. THE TERMS OF THE DEBT SECURITIES INCLUDE THOSE STATED IN THE INDENTURE AND THOSE MADE PART OF THE INDENTURE BY REFERENCE TO THE TRUST INDENTURE ACT. WE URGE YOU TO READ THE INDENTURE BECAUSE IT, AND NOT THIS DESCRIPTION, DEFINES YOUR RIGHTS AS A HOLDER OF THE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You Will Find in the Prospectus Supplement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provides that we may issue debt securities from time to time in one or more series and that we may denominate the debt securities and make them payable in foreign currencies. The indenture does not limit the aggregate principal amount of debt securities that can be issued thereunder. The prospectus supplement for a series of debt securities will provide information relating to the terms of the series of debt securities being offered, which may include:</w:t>
      </w:r>
    </w:p>
    <w:p>
      <w:pPr>
        <w:spacing w:after="0" w:line="18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denominations of the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with respect to the debt securities of the series are payable or the method of determination thereof;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shall bear interest, if any, or the method of calculating and/or resetting such rate or rates of interest;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from which such interest shall accrue or the method by which such dates shall be determined and the duration of the extensions and the basis upon which interest shall be calculated;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payment dates for the series of debt securities or the method by which such dates will be determined, the terms of any deferral of interest and any right of ours to extend the interest payment periods;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and interest on the series of debt securities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debt securities of the series may be redeemed, in whole or in part, at our option or otherwise;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purchase, or repay debt securities of the series pursuant to any sinking fund or other specified event or at the option of the holders and the terms of any such redemption, purchase, or repayment;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debt securities of the series may be convertible into or exchanged for other securities, including, among other things, the initial conversion or exchange price or rate and the conversion or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premium, if any, or interest with respect to the debt securities of the series may be determined with reference to an index or formula, the manner in which such amounts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payments on the debt securities of the series are to be made in a currency or currencies (or by reference to an index or formula) other than that in which such securities are denominated or designated to be payable, the currency or currencies (or index or formula) in which such payments are to be made and the terms and conditions of such payments;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provisions of the indenture dealing with defeasance, including any additional covenants that may be subject to our covenant defeasance option;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payment of the principal and premium, if any, and interest with respect to debt securities of the series will be payable, or in which the debt securities of the series shall be denominated, and the particular provisions applicable thereto in accordance with the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of the series which will be payable upon declaration of acceleration or provable in bankruptcy or the method by which such portion or amount shall be determined;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secured or guaranteed and, if so, on what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with respect to the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trustees, authenticating or paying agents, transfer agents or registrars;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and any addition to or change in, the covenants currently set forth in the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ranking or priority, if any, of the debt securities of the series and terms of the subordination;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the series which are not prohibited by the indenture.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debt securities may present debt securities for exchange in the manner, at the places, and subject to the restrictions set forth in the debt securities, the indenture, and the prospectus supplement. We will provide these services without charge, other than any tax or other governmental charge payable in connection therewith, but subject to the limitations provided in the indenture, any board resolution establishing such debt securities and any applicable indenture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senior debt securities under the indenture. Unless otherwise set forth in the applicable indenture supplement and described in a prospectus supplement, the senior debt securities will be senior unsecured obligations, ranking equally with all of our existing and future senior unsecured debt. The senior debt securities will be senior to all of our subordinated debt and junior to any secured debt we may incur as to the assets securing such debt.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Subordinated Debt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issue subordinated debt securities under the indenture. These subordinated debt securities will be subordinate and junior in right of payment, to the extent and in the manner set forth in the indenture and any applicable indenture supplement, to all of our senior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a series of subordinated debt securities, the accompanying prospectus supplement or the information incorporated by reference will set forth the approximate amount of senior indebtedness outstanding as of the end of the most recent fiscal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Subordinated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senior subordinated debt securities under the indenture. These senior subordinated debt securities will be, to the extent and in the manner set forth in the applicable indenture supplement, subordinate and junior in right of payment to all of our “senior indebtedness” and senior to our other subordinated debt. See the discussions above under “—Senior Debt” and “—Subordinated Debt” for a more detailed explanation of our senior and subordinated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that bear interest will do so at a fixed rate or a variable rate. We may sell, at a discount below the stated principal amount, any debt securities which bear no interest or which bear interest at a rate that at the time of issuance is below the prevailing market rate. The relevant prospectus supplement will describe the special United States federal income tax considerations applicable to:</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discounted debt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securities issued at par which are treated as having been issued at a discount for United States federal income tax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registered debt securities of a series in the form of one or more fully registered global securities. We will deposit the registered global security with a depository or with a nominee for a depository identified in the prospectus supplement relating to such series. The global security or global securities will represent and will be in a denomination or aggregate denominations equal to the portion of the aggregate principal amount of outstanding registered debt securities of the series to be represented by the registered global security or securities. Unless it is exchanged in whole or in part for debt securities in definitive registered form, a registered global security may not be transferred, except as a whole in three cases:</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depository for the registered global security to a nominee of the depository;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depository to the depository or another nominee of the depository;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depository or any nominee to a successor of the depository or a nominee of the successor.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depository arrangement concerning any portion of that series of debt securities to be represented by a registered global security. We anticipate that the following provisions will generally apply to all depository arrangements.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Upon the issuance of a registered global security, the depository will credit, on its book-entry registration and transfer system, the principal amounts of the debt securities represented by the registered global security to the accounts of persons that have accounts with the depository. These persons are referred to as “participants.” Any underwriters, agents or dealers participating in the distribution of debt securities represented by the registered global security will designate the accounts to be credited. Only participants or persons that hold interests through participants will be able to beneficially own interests in a registered global security. The depository for a global security will maintain records of beneficial ownership interests in a registered global security for participants. Participants or persons that hold through participants will maintain records of beneficial ownership interests in a global security for persons other than participants. These records will be the only means to transfer beneficial ownership in a registered global security.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global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long as the depository, or its nominee, is the registered owner of a registered global security, the depository or its nominee will be considered the sole owner or holder of the debt securities represented by the registered global security for all purposes under the indenture. Except as set forth below, owners of beneficial interests in a registered global security:</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have the debt securities represented by a registered global security registered in their names;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debt securities represented by a registered global security in definitive form;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debt securities represented by a registered global security under the indenture.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depository for the registered global security and, if the person is not a participant, on the procedures of the participant through which the person owns its interests, to exercise any rights of a holder under the indenture applicable to the registered global security.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which a holder is entitled to give or take under the indenture, the depository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Interest on and Principal of Registered Global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make principal, premium, if any, and interest payments on debt securities represented by a registered global security registered in the name of a depository or its nominee to the depository or its nominee as the registered owner of the registered global security. None of the Company, the trustee, or any paying agent for debt securities represented by a registered global security will have any responsibility or liability for:</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the records relating to, or payments made on account of, beneficial ownership interests in such registered global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supervising, or reviewing any records relating to beneficial ownership interests;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to beneficial owners of the global security of amounts paid to the depository or its nominee;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the depository, its nominee or any of its participants.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depository, upon receipt of any payment of principal, premium or interest in respect of the global security, will immediately credit participants’ accounts with payments in amounts proportionate to their beneficial interests in the principal amount of a registered global security as shown on the depository’s records. We also expect that payments by participants to owners of beneficial interests in a registered global security held through participants will be governed by standing instructions and customary practices. This is currently the case with the securities held for the accounts of customers registered in “street name.” Such payments will be the responsibility of participants.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Registered Global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debt securities in definitive form in exchange for the registered global security if both of the following occur:</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depository for any debt securities represented by a registered global security is at any time unwilling or unable to continue as depository or ceases to be a clearing agency registered under the Exchange Act;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appoint a successor depository within 90 days.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at any time, determine not to have any of the debt securities of a series represented by one or more registered global securities. In this event, we will issue debt securities of that series in definitive form in exchange for all of the registered global security or securities representing those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by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includes covenants by us, including among other things that we will make all payments of principal and interest at the times and places required. The supplemental indenture establishing each series of debt securities may contain additional covenants, including covenants which could restrict our right to incur additional indebtedness or liens and to take certain actions with respect to our businesses and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following will be events of default under the indenture with respect to each series of debt securities issued under the indenture:</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interest on any debt security of that series, continued for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premium, if any, on, any debt security of that series;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or agreement of ours under the indenture or the supplemental indenture with respect to that series or the debt securities of that series, continued for 90 days after written notice to us by the trustee or holders of at least 25% in aggregate principal amount of the outstanding debt securities of the series to which the covenant or agreement relates;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similar proceedings affecting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any supplemental indenture under which such series of debt securities is issued.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to certain events of bankruptcy, insolvency or similar proceedings affecting us and except as provided in the applicable prospectus supplement, if any event of default shall occur and be continuing with respect to any series of debt securities under the indenture, either the trustee or the holders of at least 25% in aggregate principal amount of outstanding debt securities of such series may accelerate the maturity of all debt securities of such series. Upon certain events of bankruptcy, insolvency or similar proceedings affecting us, the principal, premium, if any, and interest on all debt securities of each series shall be immediately due and payable.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After any such acceleration, but before a judgment or decree based on acceleration has been obtained by the trustee, the holders of a majority in aggregate principal amount of each affected series of debt securities may waive all defaults with respect to such series and rescind and annul such acceleration if all events of default, other than the non-payment of accelerated principal, have been cured, waived or otherwise remedied.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holder of any debt securities will have any right to institute any proceeding with respect to the indenture or for any remedy under the indenture, unless such holder shall have previously given to the trustee written notice of a continuing event of default and the holders of at least 25% in aggregate principal amount of the outstanding debt securities of the relevant series shall have made written request and offered indemnity satisfactory to the trustee to institute such proceeding as trustee, and the trustee shall not have received from the holders of a majority in aggregate principal amount of the outstanding debt securities of such series a direction inconsistent with such request and shall have failed to institute such proceeding within 60 days. However, such limitations do not apply to a suit instituted by a holder of a debt security for enforcement of payment of the principal of and premium, if any, or interest on such debt security on or after the respective due dates expressed in such debt 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and the trustee may, at any time and from time to time, without prior notice to or consent of any holders of debt securities, enter into one or more indentures supplemental to the indenture, among other things:</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to or secure any series of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succession of another person pursuant to the provisions of the indenture relating to consolidations, mergers and sales of assets and the assumption by such successor of our covenants, agreements, and obligations, or to otherwise comply with the provisions of the indenture relating to consolidations, mergers, and sales of assets;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right or power conferred upon us under the indenture or to add to our covenants further covenants, restrictions, conditions or provisions for the protection of the holders of all or any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in any supplemental indenture or in any debt securities that may be defective or inconsistent with any other provision contained therein;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the indenture in such a manner as to permit the qualification of the indenture or any supplemental indenture under the Trust Indenture 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supplement any of the provisions of the indenture in order to permit the defeasance and discharge of any series of debt securities pursuant to the indenture, so long as any such action does not adversely affect the interests of the holders of debt securities of any series in any material respect;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indenture with respect to one or more series of debt securities, so long as any such addition, change or elimination shall not apply to any debt securities of any series created prior to the execution of such supplemental indenture and entitled to the benefit of such provision;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or separate trustee;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 and to make any change that does not adversely affect the interests of the holders of debt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consent of the holders of at least a majority in principal amount of debt securities of each series affected by such supplemental indenture (each series voting as one class), we and the trustee may enter into one or more supplemental indentures for the purpose of adding any provisions to or changing in any manner or eliminating any of the provisions of the indenture or modifying in any manner the rights of the holders of debt securities of each such series.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our rights and the rights of the trustee to enter into one or more supplemental indentures with the consent of the holders of debt securities of the affected series as described above, no such supplemental indenture shall, without the consent of the holder of each outstanding debt security of the affected series, among other things:</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final maturity of the principal of, or any installment of interest on, any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debt securities or the rate of interest on any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any debt securities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the holders to conduct a proceeding for any remedy available to the trustee;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of any series of debt securities whose holders must consent to an amendment or supplemental indenture;</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ranking or priority of the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upon the redemption of any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of the Indenture; Defeasance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to the extent set forth in a supplemental indenture with respect to any series of debt securities, we, at our election, may discharge the indenture and the indenture shall generally cease to be of any further effect with respect to that series of debt securities if (a) we have delivered to the trustee for cancellation all debt securities of that series (with certain limited exceptions) or (b) all debt securities of that series not previously delivered to the trustee for cancellation shall have become due and payable, or are by their terms to become due and payable within one year or are to be called for redemption within one year, and we have deposited with the trustee the entire amount sufficient to pay at maturity or upon redemption all such debt securities.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have a “legal defeasance option” (pursuant to which we may terminate, with respect to the debt securities of a particular series, all of our obligations under such debt securities and the indenture with respect to such debt securities) and a “covenant defeasance option” (pursuant to which we may terminate, with respect to the debt securities of a particular series, our obligations with respect to such debt securities under certain specified covenants contained in the indenture). 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exercise our legal defeasance option or our covenant defeasance option with respect to the debt securities of a series only if we irrevocably deposit in trust with the trustee cash or U.S. government obligations (as defined in the indenture) for the payment of principal, premium, if any, and interest with respect to such debt securities to maturity or redemption, as the case may be. In addition, to exercise either of our defeasance options, we must comply with certain other conditions, including the delivery to the trustee of an opinion of counsel to the effect that the holders of debt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 (and, in the case of legal defeasance only, such opinion of counsel must be based on a ruling from the Internal Revenue Service or other change in applicable Federal income tax law).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will hold in trust the cash or U.S. government obligations deposited with it as described above and will apply the deposited cash and the proceeds from deposited U.S. government obligations to the payment of principal, premium, if any, and interest with respect to the debt securities of the defeased series.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Mergers, Consolidations and Certain Sales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w:t>
      </w:r>
    </w:p>
    <w:p>
      <w:pPr>
        <w:spacing w:after="0" w:line="225"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with or merge into any other person or entity or permit any other person or entity to consolidate with or merge into us in a transaction in which we are not the surviving entity,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lease or dispose of all or substantially all of our assets to any other person or entity, unless:</w:t>
      </w:r>
    </w:p>
    <w:p>
      <w:pPr>
        <w:spacing w:after="0" w:line="22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entity shall be a corporation organized and existing under the laws of the United States or any state thereof and such resulting, surviving or transferee entity shall expressly assume, by supplemental indenture, executed and delivered in form satisfactory to the trustee, all of our obligations under the debt securities and the indenture;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which becomes an obligation of the resulting, surviving or transferee entity as a result of such transaction as having been incurred by such entity at the time of such transaction), no default or event of default would occur or be continuing; and</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each stating that such consolidation, merger or transfer and such supplemental indenture (if any) comply with the indenture.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phrase “substantially all” of our assets will likely be interpreted under applicable state law and will be dependent upon particular facts and circumstances. As a result, there may be a degree of uncertainty in ascertaining whether a sale or transfer of “substantially all” of our assets has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director, officer, incorporator or shareholder of the Company, as such, shall have any liability for any obligations of the Company under the debt securities or the indenture or for any claim based on, in respect of, or by reason of, such obligations or their creation, solely by reason of his, her, or its status as director, officer, incorporator or shareholder of the Company. By accepting a debt security, each holder waives and releases all such liability, but only such liability. The waiver and release are part of the consideration for issuance of the debt securities. Nevertheless, such waiver may not be effective to waive liabilities under the federal securities laws and it has been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debt securities offered hereby may be convertible into or exchangeable for shares of our equity or other securities. The terms and conditions of such conversion or exchange will be set forth in the applicable prospectus supplement. Such terms may include, among others, the following:</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our ability or that of the holder to convert or exchange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such debt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with respect to one or more series of debt securities. If there are different trustees for different series of debt securities, each trustee will be a trustee of a trust under a supplemental indenture separate and apart from the trust administered by any other trustee under such indenture. Except as otherwise indicated in this prospectus or any prospectus supplement, any action permitted to be taken by a trustee may be taken by the trustee only with respect to the one or more series of debt securities for which it is the trustee under an indenture. Any trustee under the indenture or a supplemental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such series at an office designated by the trustee.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contains limitations on the right of the trustee, should it become a creditor of the Company, to obtain payment of claims in certain cases or to realize on certain property received in respect of any such claim as security or otherwise. If the trustee acquires an interest that conflicts with any duties with respect to the debt securities, the trustee is required to either resign or eliminate such conflicting interest to the extent and in the manner provided by the indenture.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 WE MAY OFFER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debt securities, preference shares or Class A ordinary shares. Warrants may be issued independently or together with debt securities, preference shares or Class A ordinary shares and may be attached to or separate from any offered securities. Any issue of warrants will be governed by the terms of the applicable form of warrant and any related warrant agreement which we will file with the SEC and they will be incorporated by reference to the registration statement of which this prospectus is a part on or before the time we issue any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purchasable upon exercise of such warrants and the procedures and conditions relating to the exercise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securities purchasable upon exercise of such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or exercise of such warrants.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to purchase equity securities may also include, if applicable, a discussion of certain U.S. federal income tax and ERISA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for the purchase of preference shares and Class A ordinary shares will be offered and exercisable for U.S. dollars only.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preference shares or Class A ordinary shares at the exercise price set forth in, or calculable as set forth in, the applicable prospectus supplement.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After the close of business on the expiration date, unexercised warrants will become void. We will specify the place or places where, and the manner in which, warrants may be exercised in the applicable prospectus supplement.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to purchase debt securities, preference shares or Class A ordinary shares, holders of the warrants will not have any of the rights of holders of the debt securities, preference shares or Class A ordinary shares purchasable upon exercise.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Outstanding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October 1, 2025, warrants to purchase a total of 21,027,801 Class A ordinary shares at an exercise price of $11.50 per share with an expiration date of November 6, 2028 were outstanding.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 WE MAY OFFER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CAYMANS ISLAND LAW AND OF THE COMPANY’S AMENDED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MEMORANDUM AND ARTICLES OF ASSOCIATION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Similar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the Companies Act allows for mergers or consolidations between two Cayman Islands companies, or between a Cayman Islands exempted company and a company incorporated in another jurisdiction (provided that is facilitated by the laws of that other jurisdiction) so as to form a single surviving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(a) a special resolution (usually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provided the parent company is the surviving entity and a copy of the plan of merger is given to every member of each subsidiary company to be merged unless that member agrees otherwise.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(3) that the foreign company will, upon the merger or consolidation becoming effective, cease to be incorporated, registered or exist under the laws of the relevant foreign jurisdiction; and (4) that there is no other reason why it would be against the public interest to permit the merger or consolidation.</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for a right of dissenting shareholders to be paid a payment of the fair value of his or her shares upon their dissenting to the merger or consolidation if they follow a prescribed procedure. In essence,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Schemes of arrangement will generally be more suited for complex mergers or other transactions involving widely held companies. In the event that a merger was sought pursuant to a scheme of arrangement (the procedures of which are more rigorous and take longer to complete than the procedures typically required to consummate a merger in the United States), the arrangement in question must be approved by (a) in respect of creditor compromises or arrangements, a majority in number of each class of creditors with whom the arrangement is to be made and who must in addition represent three-fourths in value of each such class of creditors that are present and voting either in person or by proxy at an annual general meeting, or an extraordinary general meeting, summoned for that purpose or (b) in respect of shareholder compromises or arrangements, shareholders representing three-fourths in value of each such class of shareholders that are present and voting either in person or by proxy at an annual general meeting, or an extraordinary general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187" w:lineRule="exact"/>
        <w:rPr>
          <w:sz w:val="20"/>
          <w:szCs w:val="20"/>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we have complied with the statutory provisions as to majority vote;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business-person would reasonably approve;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dissenters’ rights or appraisal rights, which would otherwise ordinarily be available to dissenting shareholders of U.S. corporations, providing rights to receive payment in cash for the judicially determined value of the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Squeeze-out Provisions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to whom the offer relates within four months, 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Suits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Maples and Calder (Cayman) LLP, our Cayman Islands legal counsel, is not aware of any reported class action having been brought in a Cayman Islands 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directors or officers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18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that have actually been obtained;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Cayman Islands has a different body of securities laws as compared to the United States and provides less protection to investors. Additionally, Cayman Islands companies may not have standing to sue before the federal courts of the United States.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It may be difficult for investors to effect service of process within the United States upon Aeries’s officers or directors, or enforce judgments obtained in the United States courts against Aeries’s officers or directors. Aeries’s corporate affairs are governed by the Memorandum and Articles of Association, the Companies Act and the common law of the Cayman Islands. The rights of shareholders to take action against the directors, actions by minority shareholders and the fiduciary responsibilities of Aeries’s directors to Aeries under Cayman Islands law will be,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Aeries will also be subject to the federal securities laws of the United States. The rights of Aeries’s shareholders and the fiduciary responsibilities of Aeries’s directors under Cayman Islands law will be different from what they would be under statutes or judicial precedent in some jurisdictions in the United States. In particular, the Cayman Islands has a different body of securities laws as compared to the United States, and certain states, such as Delaware, may have more fully-developed and judicially-interpreted bodies of corporate law. In addition, Cayman Islands companies may not have standing to initiate a shareholders derivative action in a federal court of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Exempted Companies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exempted company with limited liability (meaning our public shareholders have no 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 and can be kept outside of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shareholder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no nominal or par value;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30 years in the first instance);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Board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Memorandum and Articles of Association provides that the board of directors is divided into three classes, as nearly equal in size as possible, with one class elected each year to serve for a term of three years. This classification of the Board may discourage a takeover of Aeries because a shareholder with the requisite voting power would generally have to wait for at least two consecutive annual meetings of shareholders to elect a majority of the members of our Board.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expiration of the initial term of each class, all Directors thereafter shall be elected to serve one-year, expiring at the next annual meeting of the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Memorandum and Articles of Association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Undertaking any action to alter, amend and/or restate our Memorandum and Articles of Association will require the prior approval by a special resolution of Aeries.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Anti-Money Laundering, Counter Terrorist Financing, Prevention of Proliferation Financing and Financial Sanctions Compliance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or is involved with terrorism or terrorist and property or proliferation financing or is the business combination partner of a financial sanction and the information for that knowledge or suspicion came to their attention in the course of business in the regulated sector, or other trade, profession, business or employment, the person will be required to report such knowledge or suspicion to (1) the Financial Reporting Authority of the Cayman Islands, pursuant to the Proceeds of Crime Act (As Revised) of the Cayman Islands if the disclosure relates to criminal conduct or money laundering, or proliferation financing or is the business combination partner of a financial sanction or (2) a police officer of the rank of constable or higher, or the Financial Reporting Authority, pursuant to the Terrorism Act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Substance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Cayman Islands, together with several other non-European Union jurisdictions, have introduced legislation aimed at addressing concerns raised by the Council of the European Union and the OECD as to offshore structures engaged in certain activities which attract profits without real economic activity. The International Tax Co-operation (Economic Substance) Act (As Revised) (the “Substance Act”) came into force in the Cayman Islands in January 2019, introducing certain economic substance requirements for in-scope Cayman Islands entities which are engaged in certain geographically mobile business activities (“relevant activities.”) As we are a Cayman Islands exempted company, compliance obligations include filing annual notifications, in which need to state whether we are carrying out any relevant activities and if so, whether we have satisfied economic substance tests to the extent required under the Substance Act. It is anticipated that our Company will not be engaging in any “relevant activities” prior to the consummation of our initial business combination and will therefore not be required need to meet the economic substance requirements tests or will otherwise be subject to more limited substance requirements. Failure to satisfy applicable requirements may subject us to penalties under the Substance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Revised) of the Cayman Islands, as amended from time to time and any regulations, codes of practice or orders promulgated pursuant thereto (the “DPA”) based on internationally accepted principles of data privacy.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the company you will provide us with certain personal information which constitutes personal data within the meaning of the DPA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following discussion, the “company” refers to us and our affiliates and/or delegates, except where the context requires otherwise. The company is committed to processing personal data in accordance with the DPA. In its use of personal data, the company will be characterized under the DPA as a ‘data controller’, whilst certain of the company’s service providers, affiliates and delegates may act as ‘data processors’ under the DPA. These service providers may process personal information for their own lawful purposes in connection with services provided to the company. For the purposes of this Privacy Notice, “you” or “your” shall mean the subscriber and shall also include any individual connected to the subscriber.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virtue of making an investment in the company, the company and certain of the company’s service providers may collect, record, store, transfer and otherwise process personal data by which individuals may be directly or indirectly identified. We may combine personal data that you provide to use with personal data that we collect from, or about you. This may include personal data collected in an online or offline context including from credit reference agencies and other available public databases or data sources, such as news outlines, websites and other media sources and international sanctions lists. 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 processing of personal data for any other specific purpose. As a data controller, we will only use your personal data for the purposes for which we collected it. If we need to use your personal data for an unrelated purpose, we will contact you.</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personal data shall not be held by the company for longer than necessary with regard to the purposes of the data processing.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necessary, we will ensure that separate and appropriate legal agreements are put in place with the recipient of that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may process personal information for their own lawful purposes in connection with services provided to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the company wish to use personal data for other specific purposes (including, if applicable, any purpose that requires your consent), the company will contact you.</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have certain rights under the DPA,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Memorandum and Articles of Association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authorized but unissued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 See also the discussion of the Class V ordinary share and the classification of our Board above, which would have a similar effect.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Stock Market LLC (including through at the market offerings) or any other organized market where the securities may be traded;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who may act as agents or principals;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on a firm commitment or best-efforts basis;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a block of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of securities exchangeable, convertible or exercisable for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above.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any time a particular offer of securities covered by this prospectus is made, a revised prospectus or prospectus supplement, if required, will be distributed which will set forth:</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broker-dealers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be received by us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concessions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risk factors applicable to the securities that we propose to sell;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the securities may be listed.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applicable prospectus supplement will include any required information about underwriting compensation we pay to underwriters, and any discounts, concessions or commissions underwriters allow to participating dealers, in connection with an offering of securities. Unless otherwise indicated in the applicable prospectus supplement, an agent will be acting on a best-efforts basis and a dealer will purchase debt securities as a principal, and may then resell the debt securities at varying prices to be determined by the dealer.</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Class A ordinary shares which are listed on the Nasdaq Stock Market LLC. Any Class A ordinary shares sold will be listed on the Nasdaq Stock Market LLC, upon official notice of issuance. The securities, other than our Class A ordinary shares,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K&amp;L Gates LLP is acting as counsel for the Company in connection with the offering. The validity of our Class A ordinary shares and certain legal matters as to Cayman Islands law will be passed upon for us by Maples &amp; Calder (Cayman) LLP. Additional legal matters may be passed upon for us or any underwriters, dealers or agents, by counsel that we will name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and for the fiscal years ended March 31, 2025 and March 31, 2024 have been incorporated by reference in this prospectus and in this registration statement in reliance upon the report of Manohar &amp; Chowdhry Associates, independent registered public accounting firm, on its audit of our financial statements given on authority of this firm as expert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reports, quarterly reports and current reports, proxy statements and other information with the Securities and Exchange Commission (the “SEC”). You can read our SEC filings, including the registration statement, at the SEC’s website at www.sec.gov, which contains reports, proxy and information statements and other information regarding issuers that file electronically with the SEC. Our web site is located at www.aeriestechnology.com. The information contained on, or that may be obtained from, our website is not, and shall not be deemed to be, a part of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you, including any beneficial owner to whom this prospectus is delivered, a copy of any or all of the documents incorporated herein by reference other than the exhibits to those documents, unless the exhibits are specifically incorporated by reference into the information that this prospectus incorporates. You should direct a request for copies to Aeries Technology, 60 Paya Lebar Road, #08-13, Paya Lebar Square, Singapore 409051; Telephone: (919) 228-6404.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to another document.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2025 filed with the SEC on July 2, 2025;</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auto"/>
          </w:rPr>
          <w:t xml:space="preserve">Quarterly Reports on Form 10-Q for the quarter ended </w:t>
        </w:r>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color w:val="auto"/>
          </w:rPr>
          <w:t xml:space="preserve"> filed with the SEC on August 14, 2025 and for the quarter ended </w:t>
        </w:r>
        <w:r>
          <w:rPr>
            <w:rFonts w:ascii="Times New Roman" w:cs="Times New Roman" w:eastAsia="Times New Roman" w:hAnsi="Times New Roman"/>
            <w:sz w:val="18"/>
            <w:szCs w:val="18"/>
            <w:u w:val="single" w:color="auto"/>
            <w:color w:val="0000EE"/>
          </w:rPr>
          <w:t>September</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30, 2025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November 10, 2025;</w:t>
        </w:r>
      </w:hyperlink>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9">
        <w:r>
          <w:rPr>
            <w:rFonts w:ascii="Times New Roman" w:cs="Times New Roman" w:eastAsia="Times New Roman" w:hAnsi="Times New Roman"/>
            <w:sz w:val="18"/>
            <w:szCs w:val="18"/>
            <w:u w:val="single" w:color="auto"/>
            <w:color w:val="0000EE"/>
          </w:rPr>
          <w:t>April 2,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June 25,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July 17,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September 16,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the information included under Item 7.01 and in Exhibit 99.1 therein), </w:t>
      </w:r>
      <w:hyperlink r:id="rId43">
        <w:r>
          <w:rPr>
            <w:rFonts w:ascii="Times New Roman" w:cs="Times New Roman" w:eastAsia="Times New Roman" w:hAnsi="Times New Roman"/>
            <w:sz w:val="18"/>
            <w:szCs w:val="18"/>
            <w:u w:val="single" w:color="auto"/>
            <w:color w:val="0000EE"/>
          </w:rPr>
          <w:t>October 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4">
        <w:r>
          <w:rPr>
            <w:rFonts w:ascii="Times New Roman" w:cs="Times New Roman" w:eastAsia="Times New Roman" w:hAnsi="Times New Roman"/>
            <w:sz w:val="18"/>
            <w:szCs w:val="18"/>
            <w:u w:val="single" w:color="auto"/>
            <w:color w:val="0000EE"/>
          </w:rPr>
          <w:t>October 3, 2025</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A ordinary shares contained in the Registration Statement on </w:t>
      </w:r>
      <w:hyperlink r:id="rId4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on October 18, 2021, under Section 12(g) of the Exchange Act,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on or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will furnish without charge to you, on written or oral request, a copy of any or all of the documents incorporated by reference, including exhibits to these documents. You should direct any requests for documents to Aeries Technology, 60 Paya Lebar Road, #08-13, Paya Lebar Square, Singapore 409051; Telephone: (919) 228-6404. Copies of the above reports may also be accessed from our web site at </w:t>
      </w:r>
      <w:r>
        <w:rPr>
          <w:rFonts w:ascii="Times New Roman" w:cs="Times New Roman" w:eastAsia="Times New Roman" w:hAnsi="Times New Roman"/>
          <w:sz w:val="18"/>
          <w:szCs w:val="18"/>
          <w:i w:val="1"/>
          <w:iCs w:val="1"/>
          <w:color w:val="auto"/>
        </w:rPr>
        <w:t>www.aeriestechnology.com.</w:t>
      </w:r>
    </w:p>
    <w:p>
      <w:pPr>
        <w:spacing w:after="0" w:line="176"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authorized no one to provide you with any information that differs from that contained in this prospectus. Accordingly, you should not rely on any information that is not contained or incorporated by reference in this prospectus. You should not assume that the information in this prospectus is accurate as of any date other than the date of the front cover of this prospectus.</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to be modified or superseded for purposes of this prospectus to the extent that a statement contained in this prospectus or in any other subsequently filed document which also is or is deemed to be incorporated by reference in this prospectus modifies or supersedes that statement. Any statement that is modified or superseded will not constitute a part of this prospectus, except as modified or superseded.</w:t>
      </w:r>
    </w:p>
    <w:p>
      <w:pPr>
        <w:spacing w:after="0" w:line="28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2831465</wp:posOffset>
            </wp:positionH>
            <wp:positionV relativeFrom="page">
              <wp:posOffset>1246505</wp:posOffset>
            </wp:positionV>
            <wp:extent cx="1885950" cy="4883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8859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$4,485,000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705485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731520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1099820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lvl w:ilvl="1">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upperLetter"/>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lvl w:ilvl="1">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jpe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jpe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37" Type="http://schemas.openxmlformats.org/officeDocument/2006/relationships/hyperlink" Target="https://www.sec.gov/ix?doc=/Archives/edgar/data/1853044/000182912625004837/aeriestech_10k.htm" TargetMode="External"/><Relationship Id="rId38" Type="http://schemas.openxmlformats.org/officeDocument/2006/relationships/hyperlink" Target="https://www.sec.gov/ix?doc=/Archives/edgar/data/1853044/000182912625008937/aeriestech_10q.htm" TargetMode="External"/><Relationship Id="rId39" Type="http://schemas.openxmlformats.org/officeDocument/2006/relationships/hyperlink" Target="https://www.sec.gov/ix?doc=/Archives/edgar/data/1853044/000182912625002332/aeriestech_8k.htm" TargetMode="External"/><Relationship Id="rId40" Type="http://schemas.openxmlformats.org/officeDocument/2006/relationships/hyperlink" Target="https://www.sec.gov/ix?doc=/Archives/edgar/data/1853044/000182912625004699/aeriestech_8k.htm" TargetMode="External"/><Relationship Id="rId41" Type="http://schemas.openxmlformats.org/officeDocument/2006/relationships/hyperlink" Target="https://www.sec.gov/ix?doc=/Archives/edgar/data/1853044/000182912625005119/aeriestech_8k.htm" TargetMode="External"/><Relationship Id="rId42" Type="http://schemas.openxmlformats.org/officeDocument/2006/relationships/hyperlink" Target="https://www.sec.gov/ix?doc=/Archives/edgar/data/1853044/000182912625007430/aeriestech_8k.htm" TargetMode="External"/><Relationship Id="rId43" Type="http://schemas.openxmlformats.org/officeDocument/2006/relationships/hyperlink" Target="https://www.sec.gov/ix?doc=/Archives/edgar/data/1853044/000182912625007827/aeriestech_8k.htm" TargetMode="External"/><Relationship Id="rId44" Type="http://schemas.openxmlformats.org/officeDocument/2006/relationships/hyperlink" Target="https://www.sec.gov/ix?doc=/Archives/edgar/data/1853044/000182912625007886/aeriestech_8k.htm" TargetMode="External"/><Relationship Id="rId45" Type="http://schemas.openxmlformats.org/officeDocument/2006/relationships/hyperlink" Target="https://www.sec.gov/Archives/edgar/data/1853044/000110465921127070/tm2110970d16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2025-11-28T15:34:10Z</dcterms:created>
  <dcterms:modified xsi:type="dcterms:W3CDTF">2025-11-28T15:34:10Z</dcterms:modified>
</cp:coreProperties>
</file>