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Kochhar Alok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AERIES TECHNOLOGY, INC. 60 PAYA LEBAR ROAD, #08-13 PAYA LEBAR SQUARE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SINGAPORE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U0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409051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Aeries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AERT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09/09/2025</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09/09/2025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125,000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125,000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on September 9, 2025 (the "Grant Date"), which convert to Class A ordinary shares, par value $0.0001, of Aeries Technology, Inc. on a one-for-one basis, and which vested in full on the Grant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Exhibit 24.1 -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Daniel S. Webb,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9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Alok</w:t>
      </w:r>
      <w:r>
        <w:rPr>
          <w:sz w:val="20"/>
          <w:szCs w:val="20"/>
          <w:color w:val="auto"/>
        </w:rPr>
        <w:tab/>
      </w:r>
      <w:r>
        <w:rPr>
          <w:rFonts w:ascii="Times New Roman" w:cs="Times New Roman" w:eastAsia="Times New Roman" w:hAnsi="Times New Roman"/>
          <w:sz w:val="17"/>
          <w:szCs w:val="17"/>
          <w:color w:val="0000FF"/>
        </w:rPr>
        <w:t>09/11/2025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Kochhar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8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Alok Kochhar hereby makes, constitutes and appoints each of Daniel S. Webb and Bhisham (Ajay) Khare, each of Aeries Technology, Inc. (the “Company”), and each of Jeffrey Pititto, Julie Rizzo, Jolene Beaty and Carol Gibson, each of K&amp;L Gates LLP,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the Company, to:</w:t>
      </w:r>
    </w:p>
    <w:p>
      <w:pPr>
        <w:spacing w:after="0" w:line="184" w:lineRule="exact"/>
        <w:rPr>
          <w:sz w:val="20"/>
          <w:szCs w:val="20"/>
          <w:color w:val="auto"/>
        </w:rPr>
      </w:pPr>
    </w:p>
    <w:p>
      <w:pPr>
        <w:jc w:val="both"/>
        <w:ind w:left="640" w:hanging="314"/>
        <w:spacing w:after="0" w:line="25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3" w:lineRule="exact"/>
        <w:rPr>
          <w:rFonts w:ascii="Times New Roman" w:cs="Times New Roman" w:eastAsia="Times New Roman" w:hAnsi="Times New Roman"/>
          <w:sz w:val="18"/>
          <w:szCs w:val="18"/>
          <w:color w:val="auto"/>
        </w:rPr>
      </w:pPr>
    </w:p>
    <w:p>
      <w:pPr>
        <w:jc w:val="both"/>
        <w:ind w:left="640" w:right="20" w:hanging="314"/>
        <w:spacing w:after="0" w:line="25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3" w:lineRule="exact"/>
        <w:rPr>
          <w:rFonts w:ascii="Times New Roman" w:cs="Times New Roman" w:eastAsia="Times New Roman" w:hAnsi="Times New Roman"/>
          <w:sz w:val="18"/>
          <w:szCs w:val="18"/>
          <w:color w:val="auto"/>
        </w:rPr>
      </w:pPr>
    </w:p>
    <w:p>
      <w:pPr>
        <w:ind w:left="640" w:right="20" w:hanging="314"/>
        <w:spacing w:after="0" w:line="27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submit or otherwise deliver SEC Filings to any securities exchange on which the Company’s securities may be listed or traded;</w:t>
      </w:r>
    </w:p>
    <w:p>
      <w:pPr>
        <w:spacing w:after="0" w:line="219" w:lineRule="exact"/>
        <w:rPr>
          <w:rFonts w:ascii="Times New Roman" w:cs="Times New Roman" w:eastAsia="Times New Roman" w:hAnsi="Times New Roman"/>
          <w:sz w:val="18"/>
          <w:szCs w:val="18"/>
          <w:color w:val="auto"/>
        </w:rPr>
      </w:pPr>
    </w:p>
    <w:p>
      <w:pPr>
        <w:jc w:val="both"/>
        <w:ind w:left="640" w:hanging="314"/>
        <w:spacing w:after="0" w:line="25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83" w:lineRule="exact"/>
        <w:rPr>
          <w:rFonts w:ascii="Times New Roman" w:cs="Times New Roman" w:eastAsia="Times New Roman" w:hAnsi="Times New Roman"/>
          <w:sz w:val="18"/>
          <w:szCs w:val="18"/>
          <w:color w:val="auto"/>
        </w:rPr>
      </w:pPr>
    </w:p>
    <w:p>
      <w:pPr>
        <w:jc w:val="both"/>
        <w:ind w:left="640" w:right="20" w:hanging="314"/>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77"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19" w:lineRule="exact"/>
        <w:rPr>
          <w:sz w:val="20"/>
          <w:szCs w:val="20"/>
          <w:color w:val="auto"/>
        </w:rPr>
      </w:pPr>
    </w:p>
    <w:p>
      <w:pPr>
        <w:ind w:left="960" w:hanging="314"/>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327025</wp:posOffset>
            </wp:positionV>
            <wp:extent cx="69640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332" w:right="459" w:bottom="1440" w:gutter="0" w:footer="0" w:header="0"/>
        </w:sectPr>
      </w:pPr>
    </w:p>
    <w:bookmarkStart w:id="2" w:name="page3"/>
    <w:bookmarkEnd w:id="2"/>
    <w:p>
      <w:pPr>
        <w:ind w:left="960" w:hanging="314"/>
        <w:spacing w:after="0" w:line="27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3" w:lineRule="exact"/>
        <w:rPr>
          <w:rFonts w:ascii="Times New Roman" w:cs="Times New Roman" w:eastAsia="Times New Roman" w:hAnsi="Times New Roman"/>
          <w:sz w:val="18"/>
          <w:szCs w:val="18"/>
          <w:color w:val="auto"/>
        </w:rPr>
      </w:pPr>
    </w:p>
    <w:p>
      <w:pPr>
        <w:jc w:val="both"/>
        <w:ind w:left="960" w:right="20" w:hanging="314"/>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7" w:lineRule="exact"/>
        <w:rPr>
          <w:rFonts w:ascii="Times New Roman" w:cs="Times New Roman" w:eastAsia="Times New Roman" w:hAnsi="Times New Roman"/>
          <w:sz w:val="18"/>
          <w:szCs w:val="18"/>
          <w:color w:val="auto"/>
        </w:rPr>
      </w:pPr>
    </w:p>
    <w:p>
      <w:pPr>
        <w:jc w:val="both"/>
        <w:ind w:left="960" w:right="20" w:hanging="314"/>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K&amp;L Gates LLP or the Company, as applicable.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August 28, 2025.</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Alok Kochhar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Signature</w:t>
      </w:r>
    </w:p>
    <w:p>
      <w:pPr>
        <w:spacing w:after="0" w:line="2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Alok Kochhar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9640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980"/>
      </w:cols>
      <w:pgMar w:left="460" w:top="100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3" Type="http://schemas.openxmlformats.org/officeDocument/2006/relationships/hyperlink" Target="http://www.sec.gov/cgi-bin/browse-edgar?action=getcompany&amp;CIK=0001999328" TargetMode="External"/><Relationship Id="rId14" Type="http://schemas.openxmlformats.org/officeDocument/2006/relationships/hyperlink" Target="http://www.sec.gov/cgi-bin/browse-edgar?action=getcompany&amp;CIK=0001853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2025-09-11T20:12:50Z</dcterms:created>
  <dcterms:modified xsi:type="dcterms:W3CDTF">2025-09-11T20:12:50Z</dcterms:modified>
</cp:coreProperties>
</file>