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141605</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001-40920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98-1587626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660" w:type="dxa"/>
            <w:vAlign w:val="bottom"/>
            <w:gridSpan w:val="2"/>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17"/>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60 Paya Lebar Road, #08-13</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Paya Lebar Square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660" w:type="dxa"/>
            <w:vAlign w:val="bottom"/>
            <w:tcBorders>
              <w:bottom w:val="single" w:sz="8" w:color="auto"/>
            </w:tcBorders>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409051</w:t>
            </w:r>
          </w:p>
        </w:tc>
      </w:tr>
      <w:tr>
        <w:trPr>
          <w:trHeight w:val="228"/>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125730</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(919) 228-6404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AERT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AERTW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Class A ordinary share at an exercise price of $11.50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June 8, 2026, Aeries Technology, Inc. (the “Company”) issued a press release containing its financial results for the fiscal year ended March 31, 2026. A copy of the press release is attached hereto as Exhibit 99.1 and is incorporated herein by reference. The Company filed its Annual Report on Form 10-K for the fiscal year ended March 31, 2026 on June 8,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8, 2026</w:t>
      </w:r>
    </w:p>
    <w:p>
      <w:pPr>
        <w:spacing w:after="0" w:line="23" w:lineRule="exact"/>
        <w:rPr>
          <w:sz w:val="20"/>
          <w:szCs w:val="20"/>
          <w:color w:val="auto"/>
        </w:rPr>
      </w:pPr>
    </w:p>
    <w:p>
      <w:pPr>
        <w:ind w:left="5580" w:right="4320" w:hanging="5572"/>
        <w:spacing w:after="0" w:line="636"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Aeries Technology, Inc.</w:t>
            </w:r>
          </w:p>
        </w:tc>
      </w:tr>
      <w:tr>
        <w:trPr>
          <w:trHeight w:val="238"/>
        </w:trPr>
        <w:tc>
          <w:tcPr>
            <w:tcW w:w="346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Bhisham (Ajay) Khare</w:t>
            </w:r>
          </w:p>
        </w:tc>
      </w:tr>
      <w:tr>
        <w:trPr>
          <w:trHeight w:val="189"/>
        </w:trPr>
        <w:tc>
          <w:tcPr>
            <w:tcW w:w="3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Bhisham (Ajay) Khare</w:t>
            </w:r>
          </w:p>
        </w:tc>
      </w:tr>
      <w:tr>
        <w:trPr>
          <w:trHeight w:val="236"/>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560"/>
        </w:trPr>
        <w:tc>
          <w:tcPr>
            <w:tcW w:w="34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Aeries Technology Reports Fiscal Year 2026 Results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Reports Full-Year Revenue of $70 Million and Adjusted EBITDA of $8.3 Million,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Exceeding Increased Adjusted EBITDA Guidance Range; Fourth Consecutive Quarter of Positive Operating Cash Flow</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June 8, 2026 </w:t>
      </w:r>
      <w:r>
        <w:rPr>
          <w:rFonts w:ascii="Times New Roman" w:cs="Times New Roman" w:eastAsia="Times New Roman" w:hAnsi="Times New Roman"/>
          <w:sz w:val="18"/>
          <w:szCs w:val="18"/>
          <w:color w:val="auto"/>
        </w:rPr>
        <w:t>– Aeries Technology, Inc. (“Aeries” or the “Company”) (Nasdaq: AERT), a global leader in Global Capability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(“GCC”) services and business transformation solutions for private equity-backed enterprises, today announced financial results for the fiscal year ended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2026 (Fiscal Year 2026) Financial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Revenue for fiscal year 2026 was $70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color w:val="auto"/>
        </w:rPr>
        <w:t>: Income from operations for fiscal year 2026 was $4.5 million, compared to $(28.8) million for fiscal year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Net income for fiscal year 2026 was $3.5 million, compared to $(21.6) million for fiscal year 2025.</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for fiscal year 2026 was $8.3 million, with an Adjusted EBITDA margin of 11.9%, above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guidance range of $7 million to $8 million, compared to $(4.7) million and a margin of (6.6)% for fiscal year 2025.</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Cash Flow: </w:t>
      </w:r>
      <w:r>
        <w:rPr>
          <w:rFonts w:ascii="Times New Roman" w:cs="Times New Roman" w:eastAsia="Times New Roman" w:hAnsi="Times New Roman"/>
          <w:sz w:val="18"/>
          <w:szCs w:val="18"/>
          <w:color w:val="auto"/>
        </w:rPr>
        <w:t>The Company generated $6.8 million in cash from operating activities during fiscal year 2026, compared to $(1.0)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operations in fiscal year 2025, and reported positive operating cash flow for the fourth consecutive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reiterating its previously stated guidance for fiscal year 2027:</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between $80 million and $84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between $10 million and $12 million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Ajay Khare, Chief Executive Officer of Aeries, commented: </w:t>
      </w:r>
      <w:r>
        <w:rPr>
          <w:rFonts w:ascii="Times New Roman" w:cs="Times New Roman" w:eastAsia="Times New Roman" w:hAnsi="Times New Roman"/>
          <w:sz w:val="18"/>
          <w:szCs w:val="18"/>
          <w:color w:val="auto"/>
        </w:rPr>
        <w:t>“Fiscal year 2026 was a year of meaningful operational progress for Aeries. We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of $70 million and Adjusted EBITDA of $8.3 million, exceeding our increased guidance range of $7 million to $8 million, with Adjusted EBITDA margin expanding to 11.9% from (6.6)% in fiscal year 2025. We generated $6.8 million in cash from operating activities, reported our fourth consecutive quarter of positive operating cash flow, and returned to net income of $3.5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we continued to improve operating leverage through disciplined execution, automation-enabled productivity initiatives, and expansion of multi-year GCC engagements across North America, India, and Mexico. We also continued to deepen our relationships within the private equity ecosystem and expand client engagements across our GCC delivery model. This included the launch of our AeriesOne A1 GCC Platform, which embeds AI-enabled automation across our delivery model and represents an important step in how we deliver value for clients.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our current portfolio of signed contracts and ongoing client expansions, we are reiterating our previously stated fiscal year 2027 outlook. We remain focused on profitable growth, operational discipline, and continued execution across our GCC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Strategic and Operational Highlights</w:t>
      </w:r>
    </w:p>
    <w:p>
      <w:pPr>
        <w:spacing w:after="0" w:line="229"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the AeriesOne A1 GCC Platform, integrating AI-enabled automation into GCC operations to enable improved efficiency, scalability, and real-time decision-making across client engagements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momentum in transformation programs and automation-enabled delivery initiatives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focus on governance, operational efficiency, and scalable delivery execution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GCC-led operating models remained strong throughout the year, particularly among private equity-backed and mid-market enterprises seeking scalable, technology-enabled global operating structures.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Aeries further scaled its Mexico delivery presence during the year, supporting multi-country GCC strategies and nearshore-offshore operating models for North American clients.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discuss its financial results on </w:t>
      </w:r>
      <w:r>
        <w:rPr>
          <w:rFonts w:ascii="Times New Roman" w:cs="Times New Roman" w:eastAsia="Times New Roman" w:hAnsi="Times New Roman"/>
          <w:sz w:val="18"/>
          <w:szCs w:val="18"/>
          <w:b w:val="1"/>
          <w:bCs w:val="1"/>
          <w:color w:val="auto"/>
        </w:rPr>
        <w:t>Monday, June 8, 2026, at 8 AM ET</w:t>
      </w:r>
      <w:r>
        <w:rPr>
          <w:rFonts w:ascii="Times New Roman" w:cs="Times New Roman" w:eastAsia="Times New Roman" w:hAnsi="Times New Roman"/>
          <w:sz w:val="18"/>
          <w:szCs w:val="18"/>
          <w:color w:val="auto"/>
        </w:rPr>
        <w:t xml:space="preserve">. The call will be accessible by telephone at </w:t>
      </w:r>
      <w:r>
        <w:rPr>
          <w:rFonts w:ascii="Times New Roman" w:cs="Times New Roman" w:eastAsia="Times New Roman" w:hAnsi="Times New Roman"/>
          <w:sz w:val="18"/>
          <w:szCs w:val="18"/>
          <w:b w:val="1"/>
          <w:bCs w:val="1"/>
          <w:color w:val="auto"/>
        </w:rPr>
        <w:t xml:space="preserve">1-877-407-0792 (domestic) or 1-201-689-8263 (international). </w:t>
      </w:r>
      <w:r>
        <w:rPr>
          <w:rFonts w:ascii="Times New Roman" w:cs="Times New Roman" w:eastAsia="Times New Roman" w:hAnsi="Times New Roman"/>
          <w:sz w:val="18"/>
          <w:szCs w:val="18"/>
          <w:color w:val="auto"/>
        </w:rPr>
        <w:t>The call transcript will also be available on the Company’s investor relations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https://ir.aeriestechnology.com/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Aeries Technology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Aeries Technology (Nasdaq: AERT) is a global leader in AI-enabled value creation, business transformation, and Global Capability Center (GCC) delivery for private equity-backed enterprises. Leveraging advanced technologies, automation, and scalable global delivery models, Aeries provides tailored GCC and transformation solutions designed to support long-term operational efficiency and enterprise value creation.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Founded in 2012, Aeries Technology supports clients through its India and Mexico delivery operations and continues to focus on scalable GCC-led transformation programs for private equity-backed and mid-market enterprises.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non-GAAP financial information and believes it is useful to investors as it provides additional information to facilitate comparisons of historical operating results, identify trends in its underlying operating results and provide additional insight and transparency on how it evaluates the business. The Company uses non-GAAP financial measures to budget, make operating and strategic decisions, and evaluate its performance. The Company has detailed the non-GAAP adjustments that it makes in the non-GAAP definitions below. The adjustments generally fall within the categories of non-cash items. The Company believes the non-GAAP measures presented herein should always be considered along with, and not as a substitute for or superior to, the related GAAP financial measures. In addition, similarly titled items used by other companies may not be comparable due to variations in how they are calculated and how terms are defined. For further information, see “Reconciliation of Non—GAAP Financial Measures” below, including the reconciliations of these non-GAAP measures to their most directly comparable GAAP financial measures.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defines Adjusted EBITDA as net income (loss) before interest, income taxes, depreciation and amortization, further adjusted to exclude stock-based compensation, M&amp;A transaction-related costs, severance pay, and changes in fair value of derivative liabilities.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key performance indicator the Company uses in evaluating our operating performance and in making financial, operating, and planning decisions. The Company believes this measure is useful to investors in the evaluation of Aeries’ operating performance as such information was used by the Company’s management for internal reporting and planning procedures, including aspects of our consolidated operating budget and capital expenditures. Adjusted EBITDA as a measure has some limitations in that it does not reflect: (i) our cash expenditures or future requirements for capital expenditures or contractual commitments; (ii) foreign exchange gain/loss; (iii) changes in, or cash requirements for, working capital; (iv) significant interest expense or the cash requirements necessary to service interest or principal payments on our outstanding debt; (v) payments made or future requirements for income taxes; (vi) cash requirements for future replacement or payment in depreciated or amortized assets; (vii) stock based compensation costs, (viii) severance pay, (ix) Business Combination and M&amp;A transaction related costs, which represent non-recurring legal, professional, personnel and other fees and expenses incurred in connection with potential mergers and acquisitions related activities, and (x) change in fair value of derivative liabilities. We define Adjusted EBITDA Margin as Adjusted EBITDA divided by Revenue.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provide a reconciliation of forward-looking non-GAAP financial measures to the most directly comparable financial measures calculated and reported in accordance with GAAP, as the Company is unable to estimate significant non-recurring or unusual items without unreasonable effort. The amounts and timing of these items are uncertain and could be material to the Company’s results calculated in accordance with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statements in this release that are not based on historical fact are “forward-looking statements” within the meaning of the Private Securities Litigation Reform Act of 1995 and the provisions of Section 27A of the Securities Act of 1933, as amended, and Section 21E of the Securities Exchange Act of 1934, as amended. Words such as “anticipate,” “believe,” “continue,” “could,” “estimate”, “expect”, “hope”, “intend”, “may”, “might”, “should”, “would”, “will”, “understand” and similar words are intended to identify forward looking statements. These forward-looking statements include but are not limited to, statements regarding our future operating results, outlook, guidance and financial position, our business strategy and plans, our objectives for future operations, potential acquisitions and macroeconomic trends. While management has based any forward-looking statements included in this release on its current expectations, the information on which such expectations were based may change. These forward-looking statements rely on a number of assumptions concerning future events and are subject to a number of risks, uncertainties and other factors, many of which are outside of the control of Aeries and its subsidiaries, which could cause actual results to materially differ from such statements. Such risks, uncertainties, and other factors include, but are not limited to, our ability to continue as a going concern; our ability to retain and expand our client base; changes in the business, market, financial, political and legal conditions in India, Singapore, the United States, Mexico, the Cayman Islands and other countries, including developments with respect to inflation, interest rates and the global supply chain, including with respect to economic and geopolitical uncertainty in many markets around the world, the potential of decelerating global economic growth and increased volatility in foreign currency exchange rates; the potential for our business development efforts to maximize our potential value; the ability to maintain the listing of our Class A ordinary shares and our public warrants on Nasdaq, and the potential liquidity and trading of our securities; changes in applicable laws or regulations and other regulatory developments in the United States, India, Singapore, Mexico, the Cayman Islands and other countries; our ability to develop and maintain effective internal controls, including our ability to remediate the material weakness in our internal controls over financial reporting; our success in retaining or recruiting, or changes required in, our officers, key employees or directors; our financial performance; our ability to make acquisitions, divestments or form joint ventures or otherwise make investments and the ability to successfully complete such transactions and integrate with our business; the period over which we anticipate our existing cash and cash equivalents will be sufficient to fund our operating expenses and capital expenditure requirements; the conflicts between Russia and Ukraine, and Israel and Hamas, and between the United States and Iran, and the tensions between China and Taiwan, and any restrictive actions that have been or may be taken by the U.S. and/or other countries in response thereto, such as sanctions or export controls; risks related to cybersecurity and data privacy; the impact of inflation; and the fluctuation of economic conditions, global conflicts, inflation and other global events on Aeries’ results of operations and global supply chain constraints. Further information on risks, uncertainties and other factors that could affect our financial results are included in Aeries’ periodic and current reports filed with the U.S. Securities and Exchange Commission. Furthermore, Aeries operates in a highly competitive and rapidly changing environment where new and unanticipated risks may arise. Accordingly, investors should not place any reliance on forward-looking statements as a prediction of actual results. Aeries disclaims any intention to, and undertakes no obligation to, update or revise forward-looking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IR@aeriestechnology.com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70,014</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70,198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52,715</w:t>
            </w:r>
          </w:p>
        </w:tc>
        <w:tc>
          <w:tcPr>
            <w:tcW w:w="34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53,478</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17,299</w:t>
            </w:r>
          </w:p>
        </w:tc>
        <w:tc>
          <w:tcPr>
            <w:tcW w:w="3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16,720</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2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34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12,781</w:t>
            </w:r>
          </w:p>
        </w:tc>
        <w:tc>
          <w:tcPr>
            <w:tcW w:w="34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45,490</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32,709</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12,781</w:t>
            </w:r>
          </w:p>
        </w:tc>
        <w:tc>
          <w:tcPr>
            <w:tcW w:w="3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45,490</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32,709</w:t>
            </w:r>
          </w:p>
        </w:tc>
        <w:tc>
          <w:tcPr>
            <w:tcW w:w="2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 income from operations</w:t>
            </w:r>
          </w:p>
        </w:tc>
        <w:tc>
          <w:tcPr>
            <w:tcW w:w="1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4,518</w:t>
            </w:r>
          </w:p>
        </w:tc>
        <w:tc>
          <w:tcPr>
            <w:tcW w:w="300" w:type="dxa"/>
            <w:vAlign w:val="bottom"/>
            <w:vMerge w:val="continue"/>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(28,770)</w:t>
            </w:r>
          </w:p>
        </w:tc>
        <w:tc>
          <w:tcPr>
            <w:tcW w:w="3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33,288</w:t>
            </w:r>
          </w:p>
        </w:tc>
        <w:tc>
          <w:tcPr>
            <w:tcW w:w="200" w:type="dxa"/>
            <w:vAlign w:val="bottom"/>
            <w:vMerge w:val="continue"/>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forward purchase agreement put option liability</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4,585</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forward purchase agreement put option liability</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w:t>
            </w:r>
          </w:p>
        </w:tc>
        <w:tc>
          <w:tcPr>
            <w:tcW w:w="34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6,103</w:t>
            </w:r>
          </w:p>
        </w:tc>
        <w:tc>
          <w:tcPr>
            <w:tcW w:w="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(5,156)</w:t>
            </w:r>
          </w:p>
        </w:tc>
        <w:tc>
          <w:tcPr>
            <w:tcW w:w="200" w:type="dxa"/>
            <w:vAlign w:val="bottom"/>
            <w:vMerge w:val="continue"/>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 income before income taxes</w:t>
            </w: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5,465</w:t>
            </w:r>
          </w:p>
        </w:tc>
        <w:tc>
          <w:tcPr>
            <w:tcW w:w="3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(22,667)</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28,132</w:t>
            </w:r>
          </w:p>
        </w:tc>
        <w:tc>
          <w:tcPr>
            <w:tcW w:w="2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(1,991)</w:t>
            </w:r>
          </w:p>
        </w:tc>
        <w:tc>
          <w:tcPr>
            <w:tcW w:w="34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 income</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(21,595</w:t>
            </w:r>
          </w:p>
        </w:tc>
        <w:tc>
          <w:tcPr>
            <w:tcW w:w="30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Net (loss) / income attributable to noncontrolling interest</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278</w:t>
            </w:r>
          </w:p>
        </w:tc>
        <w:tc>
          <w:tcPr>
            <w:tcW w:w="3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(1,163)</w:t>
            </w:r>
          </w:p>
        </w:tc>
        <w:tc>
          <w:tcPr>
            <w:tcW w:w="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1,441</w:t>
            </w:r>
          </w:p>
        </w:tc>
        <w:tc>
          <w:tcPr>
            <w:tcW w:w="200" w:type="dxa"/>
            <w:vAlign w:val="bottom"/>
            <w:vMerge w:val="continue"/>
          </w:tcPr>
          <w:p>
            <w:pPr>
              <w:spacing w:after="0"/>
              <w:rPr>
                <w:sz w:val="17"/>
                <w:szCs w:val="17"/>
                <w:color w:val="auto"/>
              </w:rPr>
            </w:pPr>
          </w:p>
        </w:tc>
        <w:tc>
          <w:tcPr>
            <w:tcW w:w="136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 income attributable to redeemable noncontrolling interests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1,360</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74"/>
        </w:trPr>
        <w:tc>
          <w:tcPr>
            <w:tcW w:w="55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Net (loss) / income attributable to the shareholders of Aeries Technology,</w:t>
            </w: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2,554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(19,714)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22,268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w w:val="70"/>
              </w:rPr>
              <w:t>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8"/>
        </w:trPr>
        <w:tc>
          <w:tcPr>
            <w:tcW w:w="54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542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8"/>
                <w:szCs w:val="18"/>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 income</w:t>
            </w:r>
          </w:p>
        </w:tc>
        <w:tc>
          <w:tcPr>
            <w:tcW w:w="3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3,474</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(21,595)</w:t>
            </w:r>
          </w:p>
        </w:tc>
        <w:tc>
          <w:tcPr>
            <w:tcW w:w="240" w:type="dxa"/>
            <w:vAlign w:val="bottom"/>
            <w:shd w:val="clear" w:color="auto" w:fill="CCEEFF"/>
          </w:tcPr>
          <w:p>
            <w:pPr>
              <w:spacing w:after="0"/>
              <w:rPr>
                <w:sz w:val="18"/>
                <w:szCs w:val="18"/>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 expense</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463</w:t>
            </w: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1,384</w:t>
            </w: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1,693</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(19,165)</w:t>
            </w:r>
          </w:p>
        </w:tc>
        <w:tc>
          <w:tcPr>
            <w:tcW w:w="240" w:type="dxa"/>
            <w:vAlign w:val="bottom"/>
            <w:tcBorders>
              <w:top w:val="single" w:sz="8" w:color="CCEEFF"/>
            </w:tcBorders>
            <w:shd w:val="clear" w:color="auto" w:fill="CCEEFF"/>
          </w:tcPr>
          <w:p>
            <w:pPr>
              <w:spacing w:after="0"/>
              <w:rPr>
                <w:sz w:val="18"/>
                <w:szCs w:val="18"/>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Stock-based compensation</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293</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12,746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 Business Combination and M&amp;A transaction related costs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6,993</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Severance Pay</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 Change in fair value of derivative liabilities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(5,323)</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Gain on settlement of forward purchase agreement put option liability</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w:t>
            </w:r>
          </w:p>
        </w:tc>
      </w:tr>
      <w:tr>
        <w:trPr>
          <w:trHeight w:val="20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8,311</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(4,652)</w:t>
            </w:r>
          </w:p>
        </w:tc>
        <w:tc>
          <w:tcPr>
            <w:tcW w:w="240" w:type="dxa"/>
            <w:vAlign w:val="bottom"/>
            <w:tcBorders>
              <w:bottom w:val="single" w:sz="8" w:color="CCEEFF"/>
            </w:tcBorders>
          </w:tcPr>
          <w:p>
            <w:pPr>
              <w:spacing w:after="0"/>
              <w:rPr>
                <w:sz w:val="18"/>
                <w:szCs w:val="18"/>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70,014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70,198</w:t>
            </w:r>
          </w:p>
        </w:tc>
        <w:tc>
          <w:tcPr>
            <w:tcW w:w="24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[Adjusted EBITDA / Revenue]</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r>
      <w:tr>
        <w:trPr>
          <w:trHeight w:val="561"/>
        </w:trPr>
        <w:tc>
          <w:tcPr>
            <w:tcW w:w="54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right"/>
              <w:ind w:right="27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CASH FLOW</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 at the beginning of period</w:t>
      </w:r>
    </w:p>
    <w:p>
      <w:pPr>
        <w:spacing w:after="0" w:line="31" w:lineRule="exact"/>
        <w:rPr>
          <w:sz w:val="20"/>
          <w:szCs w:val="20"/>
          <w:color w:val="auto"/>
        </w:rPr>
      </w:pPr>
    </w:p>
    <w:p>
      <w:pPr>
        <w:ind w:right="1440"/>
        <w:spacing w:after="0" w:line="258" w:lineRule="auto"/>
        <w:rPr>
          <w:sz w:val="20"/>
          <w:szCs w:val="20"/>
          <w:color w:val="auto"/>
        </w:rPr>
      </w:pPr>
      <w:r>
        <w:rPr>
          <w:rFonts w:ascii="Times New Roman" w:cs="Times New Roman" w:eastAsia="Times New Roman" w:hAnsi="Times New Roman"/>
          <w:sz w:val="18"/>
          <w:szCs w:val="18"/>
          <w:color w:val="auto"/>
        </w:rPr>
        <w:t>Net cash provided by / (used in) operating activities Net cash used in investing activities</w:t>
      </w:r>
    </w:p>
    <w:p>
      <w:pPr>
        <w:ind w:right="1420"/>
        <w:spacing w:after="0" w:line="250" w:lineRule="auto"/>
        <w:rPr>
          <w:sz w:val="20"/>
          <w:szCs w:val="20"/>
          <w:color w:val="auto"/>
        </w:rPr>
      </w:pPr>
      <w:r>
        <w:rPr>
          <w:rFonts w:ascii="Times New Roman" w:cs="Times New Roman" w:eastAsia="Times New Roman" w:hAnsi="Times New Roman"/>
          <w:sz w:val="18"/>
          <w:szCs w:val="18"/>
          <w:color w:val="auto"/>
        </w:rPr>
        <w:t>Net cash (used in) / provided by financing activities Effects of exchange rates on cash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 at the end of period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20"/>
                <w:szCs w:val="20"/>
                <w:color w:val="auto"/>
              </w:rPr>
            </w:pPr>
          </w:p>
        </w:tc>
        <w:tc>
          <w:tcPr>
            <w:tcW w:w="1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2,764</w:t>
            </w:r>
          </w:p>
        </w:tc>
        <w:tc>
          <w:tcPr>
            <w:tcW w:w="220" w:type="dxa"/>
            <w:vAlign w:val="bottom"/>
          </w:tcPr>
          <w:p>
            <w:pPr>
              <w:spacing w:after="0"/>
              <w:rPr>
                <w:sz w:val="16"/>
                <w:szCs w:val="16"/>
                <w:color w:val="auto"/>
              </w:rPr>
            </w:pPr>
          </w:p>
        </w:tc>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2,084</w:t>
            </w:r>
          </w:p>
        </w:tc>
        <w:tc>
          <w:tcPr>
            <w:tcW w:w="2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680</w:t>
            </w:r>
          </w:p>
        </w:tc>
        <w:tc>
          <w:tcPr>
            <w:tcW w:w="220" w:type="dxa"/>
            <w:vAlign w:val="bottom"/>
          </w:tcPr>
          <w:p>
            <w:pPr>
              <w:spacing w:after="0"/>
              <w:rPr>
                <w:sz w:val="16"/>
                <w:szCs w:val="16"/>
                <w:color w:val="auto"/>
              </w:rPr>
            </w:pPr>
          </w:p>
        </w:tc>
        <w:tc>
          <w:tcPr>
            <w:tcW w:w="132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6,772</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(1,418)</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(3,017)</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2,432</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4,878</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2,114</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-882015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-599440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-325120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792" w:right="33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$1,335 and $3,574 as of March 31, 2026, and March 31, 2025, respectively</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12,719</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10,982</w:t>
            </w:r>
          </w:p>
        </w:tc>
        <w:tc>
          <w:tcPr>
            <w:tcW w:w="80" w:type="dxa"/>
            <w:vAlign w:val="bottom"/>
          </w:tcPr>
          <w:p>
            <w:pPr>
              <w:spacing w:after="0"/>
              <w:rPr>
                <w:sz w:val="18"/>
                <w:szCs w:val="18"/>
                <w:color w:val="auto"/>
              </w:rPr>
            </w:pPr>
          </w:p>
        </w:tc>
      </w:tr>
      <w:tr>
        <w:trPr>
          <w:trHeight w:val="198"/>
        </w:trPr>
        <w:tc>
          <w:tcPr>
            <w:tcW w:w="8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expenses and other current assets, net of allowance of $0 and $0, as of March 31, 2026, and March 31, 2025,</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6,170</w:t>
            </w: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7,581</w:t>
            </w:r>
          </w:p>
        </w:tc>
        <w:tc>
          <w:tcPr>
            <w:tcW w:w="80" w:type="dxa"/>
            <w:vAlign w:val="bottom"/>
            <w:shd w:val="clear" w:color="auto" w:fill="CCEEFF"/>
          </w:tcPr>
          <w:p>
            <w:pPr>
              <w:spacing w:after="0"/>
              <w:rPr>
                <w:sz w:val="20"/>
                <w:szCs w:val="20"/>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transactions costs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8,608</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9,602</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3,689</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 net of allowance of $52 and $76, as of March 31, 2026, and March 31, 2025, respectively</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1,896</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2,059</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8"/>
                <w:szCs w:val="18"/>
                <w:color w:val="auto"/>
              </w:rPr>
            </w:pPr>
          </w:p>
        </w:tc>
      </w:tr>
      <w:tr>
        <w:trPr>
          <w:trHeight w:val="209"/>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8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 /</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9,270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8,154</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 current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3,568</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2,432</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4,436</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6,504</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purchase agreement put option liability</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5,034</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6,434</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7,753</w:t>
            </w:r>
          </w:p>
        </w:tc>
        <w:tc>
          <w:tcPr>
            <w:tcW w:w="80" w:type="dxa"/>
            <w:vAlign w:val="bottom"/>
          </w:tcPr>
          <w:p>
            <w:pPr>
              <w:spacing w:after="0"/>
              <w:rPr>
                <w:sz w:val="18"/>
                <w:szCs w:val="18"/>
                <w:color w:val="auto"/>
              </w:rPr>
            </w:pPr>
          </w:p>
        </w:tc>
      </w:tr>
      <w:tr>
        <w:trPr>
          <w:trHeight w:val="210"/>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30,689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 term debt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6,358</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7,483</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6,016</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4,170</w:t>
            </w:r>
          </w:p>
        </w:tc>
        <w:tc>
          <w:tcPr>
            <w:tcW w:w="80" w:type="dxa"/>
            <w:vAlign w:val="bottom"/>
          </w:tcPr>
          <w:p>
            <w:pPr>
              <w:spacing w:after="0"/>
              <w:rPr>
                <w:sz w:val="18"/>
                <w:szCs w:val="18"/>
                <w:color w:val="auto"/>
              </w:rPr>
            </w:pPr>
          </w:p>
        </w:tc>
      </w:tr>
      <w:tr>
        <w:trPr>
          <w:trHeight w:val="223"/>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448</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 (deficit)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 shares, $0.0001 par value; 5,000,000 shares authorized; none issued or outstanding</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98"/>
        </w:trPr>
        <w:tc>
          <w:tcPr>
            <w:tcW w:w="8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48,497,154 shares issued and</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2026; 47,152,626 shares issued and outstanding as of March 31, 2025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ordinary shares, $0.0001 par value; 1 share authorized, issued and outstanding</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shareholders’ investment and additional paid-in capital</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29,115</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27,203</w:t>
            </w:r>
          </w:p>
        </w:tc>
        <w:tc>
          <w:tcPr>
            <w:tcW w:w="80" w:type="dxa"/>
            <w:vAlign w:val="bottom"/>
            <w:shd w:val="clear" w:color="auto" w:fill="CCEEFF"/>
          </w:tcPr>
          <w:p>
            <w:pPr>
              <w:spacing w:after="0"/>
              <w:rPr>
                <w:sz w:val="18"/>
                <w:szCs w:val="18"/>
                <w:color w:val="auto"/>
              </w:rPr>
            </w:pPr>
          </w:p>
        </w:tc>
      </w:tr>
      <w:tr>
        <w:trPr>
          <w:trHeight w:val="198"/>
        </w:trPr>
        <w:tc>
          <w:tcPr>
            <w:tcW w:w="8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Common Stock held in treasury at cost; 2,997,954 shares as on March 31, 2026 and 1,285,392 shares as 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2025</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(1,304)</w:t>
            </w:r>
          </w:p>
        </w:tc>
        <w:tc>
          <w:tcPr>
            <w:tcW w:w="34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(1,977)</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(28,873)</w:t>
            </w: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(31,380)</w:t>
            </w:r>
          </w:p>
        </w:tc>
      </w:tr>
      <w:tr>
        <w:trPr>
          <w:trHeight w:val="209"/>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Aeries Technology, Inc. shareholders’ deficit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8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(6,062)</w:t>
            </w:r>
          </w:p>
        </w:tc>
        <w:tc>
          <w:tcPr>
            <w:tcW w:w="100" w:type="dxa"/>
            <w:vAlign w:val="bottom"/>
            <w:gridSpan w:val="2"/>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shareholders’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41,894</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28587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587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Aeries Technology,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2026-06-08T05:55:20Z</dcterms:created>
  <dcterms:modified xsi:type="dcterms:W3CDTF">2026-06-08T05:55:20Z</dcterms:modified>
</cp:coreProperties>
</file>