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154305</wp:posOffset>
            </wp:positionV>
            <wp:extent cx="2503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Aeries Technology,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141605</wp:posOffset>
            </wp:positionV>
            <wp:extent cx="25031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4"/>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278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001-40920</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98-1587626</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780" w:type="dxa"/>
            <w:vAlign w:val="bottom"/>
            <w:tcBorders>
              <w:top w:val="single" w:sz="8" w:color="auto"/>
            </w:tcBorders>
            <w:gridSpan w:val="3"/>
          </w:tcPr>
          <w:p>
            <w:pPr>
              <w:jc w:val="center"/>
              <w:ind w:right="82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660" w:type="dxa"/>
            <w:vAlign w:val="bottom"/>
            <w:gridSpan w:val="4"/>
          </w:tcPr>
          <w:p>
            <w:pPr>
              <w:jc w:val="center"/>
              <w:ind w:right="104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980" w:type="dxa"/>
            <w:vAlign w:val="bottom"/>
            <w:gridSpan w:val="5"/>
          </w:tcPr>
          <w:p>
            <w:pPr>
              <w:jc w:val="center"/>
              <w:ind w:right="1020"/>
              <w:spacing w:after="0"/>
              <w:rPr>
                <w:sz w:val="20"/>
                <w:szCs w:val="20"/>
                <w:color w:val="auto"/>
              </w:rPr>
            </w:pPr>
            <w:r>
              <w:rPr>
                <w:rFonts w:ascii="Times New Roman" w:cs="Times New Roman" w:eastAsia="Times New Roman" w:hAnsi="Times New Roman"/>
                <w:sz w:val="18"/>
                <w:szCs w:val="18"/>
                <w:color w:val="auto"/>
                <w:w w:val="98"/>
              </w:rPr>
              <w:t>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216"/>
        </w:trPr>
        <w:tc>
          <w:tcPr>
            <w:tcW w:w="3660" w:type="dxa"/>
            <w:vAlign w:val="bottom"/>
            <w:gridSpan w:val="2"/>
          </w:tcPr>
          <w:p>
            <w:pPr>
              <w:spacing w:after="0"/>
              <w:rPr>
                <w:sz w:val="18"/>
                <w:szCs w:val="18"/>
                <w:color w:val="auto"/>
              </w:rPr>
            </w:pPr>
          </w:p>
        </w:tc>
        <w:tc>
          <w:tcPr>
            <w:tcW w:w="1000" w:type="dxa"/>
            <w:vAlign w:val="bottom"/>
            <w:tcBorders>
              <w:bottom w:val="single" w:sz="8" w:color="auto"/>
            </w:tcBorders>
            <w:gridSpan w:val="2"/>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417"/>
        </w:trPr>
        <w:tc>
          <w:tcPr>
            <w:tcW w:w="4660" w:type="dxa"/>
            <w:vAlign w:val="bottom"/>
            <w:gridSpan w:val="4"/>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60 Paya Lebar Road, #08-13</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4660" w:type="dxa"/>
            <w:vAlign w:val="bottom"/>
            <w:gridSpan w:val="4"/>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Paya Lebar Square</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8"/>
        </w:trPr>
        <w:tc>
          <w:tcPr>
            <w:tcW w:w="4660" w:type="dxa"/>
            <w:vAlign w:val="bottom"/>
            <w:tcBorders>
              <w:bottom w:val="single" w:sz="8" w:color="auto"/>
            </w:tcBorders>
            <w:gridSpan w:val="4"/>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Singapore</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390"/>
              <w:spacing w:after="0"/>
              <w:rPr>
                <w:sz w:val="20"/>
                <w:szCs w:val="20"/>
                <w:color w:val="auto"/>
              </w:rPr>
            </w:pPr>
            <w:r>
              <w:rPr>
                <w:rFonts w:ascii="Times New Roman" w:cs="Times New Roman" w:eastAsia="Times New Roman" w:hAnsi="Times New Roman"/>
                <w:sz w:val="18"/>
                <w:szCs w:val="18"/>
                <w:b w:val="1"/>
                <w:bCs w:val="1"/>
                <w:color w:val="auto"/>
              </w:rPr>
              <w:t>409051</w:t>
            </w:r>
          </w:p>
        </w:tc>
      </w:tr>
      <w:tr>
        <w:trPr>
          <w:trHeight w:val="228"/>
        </w:trPr>
        <w:tc>
          <w:tcPr>
            <w:tcW w:w="4660" w:type="dxa"/>
            <w:vAlign w:val="bottom"/>
            <w:gridSpan w:val="4"/>
          </w:tcPr>
          <w:p>
            <w:pPr>
              <w:jc w:val="center"/>
              <w:ind w:left="7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125730</wp:posOffset>
            </wp:positionV>
            <wp:extent cx="25031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(919) 228-6404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154305</wp:posOffset>
            </wp:positionV>
            <wp:extent cx="25031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142875</wp:posOffset>
            </wp:positionV>
            <wp:extent cx="25031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9"/>
        </w:trPr>
        <w:tc>
          <w:tcPr>
            <w:tcW w:w="4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Class A ordinary shares, par value $0.0001 per share</w:t>
            </w:r>
          </w:p>
        </w:tc>
        <w:tc>
          <w:tcPr>
            <w:tcW w:w="2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AERT</w:t>
            </w:r>
          </w:p>
        </w:tc>
        <w:tc>
          <w:tcPr>
            <w:tcW w:w="2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r>
        <w:trPr>
          <w:trHeight w:val="198"/>
        </w:trPr>
        <w:tc>
          <w:tcPr>
            <w:tcW w:w="452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9"/>
              </w:rPr>
              <w:t>Redeemable warrants, each whole warrant exercisable for</w:t>
            </w:r>
          </w:p>
        </w:tc>
        <w:tc>
          <w:tcPr>
            <w:tcW w:w="246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AERTW</w:t>
            </w:r>
          </w:p>
        </w:tc>
        <w:tc>
          <w:tcPr>
            <w:tcW w:w="42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Nasdaq Capital Market</w:t>
            </w: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one Class A ordinary share at an exercise price of $11.50</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Consolidation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Aeries Technology, Inc. (the “Company”) is announcing today that its Board of Directors (the “Board”) has approved the implementation of a one-for-eight share consolidation (the “Share Consolidation”) of the Company’s Class A ordinary shares, par value $0.0001 per share (the “Class A ordinary shares”). The Share Consolidation is intended to increase the per-share trading price of the Company’s Class A ordinary shares and to assist the Company in maintaining compliance with the minimum bid price requirement for continued listing on the Nasdaq Capital Market.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Share Consolidation will become effective at 12:01 a.m., Eastern Time, on June 12, 2026 (the “Effective Time”). The Company’s Class A ordinary shares are expected to begin trading on a split-adjusted basis on the Nasdaq Stock Market at the commencement of trading on June 12, 2026, with a new CUSIP number of G0136H128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ticker symbol for the Company’s stock will remain “AERT.”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the Company’s 2026 Annual General Meeting held on March 3, 2026, the Company’s shareholders approved a proposal authorizing the Board to effect a consolidation of the Company’s authorized and issued Class A ordinary shares at a ratio of up to one-for-ten (1:10), with the exact ratio and timing to be determined by the Board in its sole discretion. Pursuant to such authorization, the Board approved a one-for-eight (1:8) Share Consolidation.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for Shareholders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Share Consolidation will, as of the Effective Time, reduce the number of issued and outstanding shares of the Company’s Class A ordinary shares from approximately 45,914,789 to approximately 5,739,349. The total authorized number of Class A ordinary shares will be correspondingly reduced from 500,000,000 with a par value of $0.0001 per share to 62,500,000 with a par value of $0.0008 per share. No fractional shares will be issued in connection with the Share Consolidation, and fractional shares resulting from the Share Consolidation will be rounded up to the next whole number. No further action on the part of shareholders will be required to implement the Share Consolidation.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transfer agent, Continental Stock Transfer &amp; Trust Company (“CSTT”), will act as its exchange agent for the Share Consolidation. CSTT will provide instructions to any shareholders with physical stock certificates regarding the process for exchanging their certificates for split-adjusted shares into “book-entry form.” Shares held by shareholders in “street name” will have their accounts automatically credited by their brokerage firm, bank, or other nominee. Shareholders who hold their shares in book-entry form at CSTT will also have their accounts automatically credited. Shareholders may contact Continental Stock Transfer and Trust Shareholder Services for any questions on 1-800-509-5586.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on Equity Awards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Proportionate adjustments will be made to the per-share exercise price and/or the number of shares subject to all then-outstanding stock options and other equity awards (collectively, the “Equity Awards”), which will result in a proportional decrease in the number of shares of the Company’s Class A ordinary shares reserved for issuance upon exercise or settlement of such Equity Awards. All share and per-share amounts in the Company’s consolidated financial statements and the notes thereto will be retroactively adjusted to reflect the Share Consolidation for all the periods presented. Additional information about the Share Consolidation can be found in the Company’s definitive proxy statement filed with the Securities and Exchange Commission on February 6,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including statements regarding the Company’s implementation of the Share Consolidation and its expected effects. These statements are not historical facts and typically are identified by the use of terms such as “may,” “will,” “should,” “could,” “expect,” “intend,” “plan,” “anticipate,” “believe,” “estimate,” “predict,” “continue,” and similar words, although some forward-looking statements are expressed differently. These statements are based on current expectations and are subject to risks and uncertainties that could cause actual results to differ materially. Further information on risks, uncertainties and other factors that could cause actual results to differ materially are included in the Company’s periodic and current reports filed with the U.S. Securities and Exchange Commission. Forward-looking statements speak only as of the date they are made. The Company disclaims any intention to, and undertakes no obligation to, update or revise these forward-looking statements except as required by law.</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Aeries Technology, Inc.</w:t>
            </w:r>
          </w:p>
        </w:tc>
      </w:tr>
      <w:tr>
        <w:trPr>
          <w:trHeight w:val="238"/>
        </w:trPr>
        <w:tc>
          <w:tcPr>
            <w:tcW w:w="3520" w:type="dxa"/>
            <w:vAlign w:val="bottom"/>
          </w:tcPr>
          <w:p>
            <w:pPr>
              <w:spacing w:after="0"/>
              <w:rPr>
                <w:sz w:val="20"/>
                <w:szCs w:val="20"/>
                <w:color w:val="auto"/>
              </w:rPr>
            </w:pP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A Cayman Islands exempted company</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June 10, 2026</w:t>
            </w: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By:  /s/ Bhisham (Ajay) Khare</w:t>
            </w:r>
          </w:p>
        </w:tc>
      </w:tr>
      <w:tr>
        <w:trPr>
          <w:trHeight w:val="189"/>
        </w:trPr>
        <w:tc>
          <w:tcPr>
            <w:tcW w:w="35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16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Bhisham (Ajay) Khare</w:t>
            </w:r>
          </w:p>
        </w:tc>
      </w:tr>
      <w:tr>
        <w:trPr>
          <w:trHeight w:val="236"/>
        </w:trPr>
        <w:tc>
          <w:tcPr>
            <w:tcW w:w="35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tc>
      </w:tr>
      <w:tr>
        <w:trPr>
          <w:trHeight w:val="560"/>
        </w:trPr>
        <w:tc>
          <w:tcPr>
            <w:tcW w:w="35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w:t>
            </w:r>
          </w:p>
        </w:tc>
        <w:tc>
          <w:tcPr>
            <w:tcW w:w="51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2026-06-10T08:02:31Z</dcterms:created>
  <dcterms:modified xsi:type="dcterms:W3CDTF">2026-06-10T08:02:31Z</dcterms:modified>
</cp:coreProperties>
</file>